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21.09.2026  |  7 Studien  |  kardio.m-vf.de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Wearable mediane Nervenstimulation reduziert Vorhofflimmern nach Ablation</w:t>
      </w:r>
    </w:p>
    <w:p>
      <w:r>
        <w:rPr>
          <w:i/>
          <w:color w:val="666666"/>
          <w:sz w:val="18"/>
        </w:rPr>
        <w:t>Reddy VY et al.  ·  Heart Rhythm  ·  20.09.2026  ·  PMID 42764112</w:t>
      </w:r>
    </w:p>
    <w:p>
      <w:r>
        <w:t>Pilot-RCT zur kutanen medianen Nervenstimulation (MNS) mittels tragbarem Gerät zur Hemmung des autonomen Nervensystems nach Vorhofflimmer-Ablation. 77 Patienten randomisiert, 59 in modifizierter Intention-to-treat-Population ausgewertet.</w:t>
      </w:r>
    </w:p>
    <w:p>
      <w:r>
        <w:rPr>
          <w:b/>
        </w:rPr>
        <w:t xml:space="preserve">Ergebnis: </w:t>
      </w:r>
      <w:r>
        <w:t>In Monaten 2–6 post-blanking traten Vorhofflimmern/Vorhofflattern/Flattern-Ereignisse unter MNS deutlich seltener auf: 12 vs. 243 Events (Rate Ratio 17,93, 95%-KI 10,04–32,0, p&lt;0,0001). Nach Ausschluss eines Hochlast-Ausreißers: 12 vs. 28 Events (RR 2,17, 95%-KI 1,10–4,27, p=0,025). Arrhythmie-Freiheit nach 6 Monaten: 90,0% (MNS) vs. 80,8% (Sham), Hazard Ratio 2,15 (95%-KI 0,42–11,1, p=0,36). Keine ernsthafte unerwünschte Ereignisse gemeldet.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USA-Pilotstudie, Sicherheitsdaten übertragbar; Wirksamkeit bedarf größerer RCT</w:t>
      </w:r>
    </w:p>
    <w:p>
      <w:r>
        <w:rPr>
          <w:color w:val="5A7D3A"/>
          <w:sz w:val="18"/>
        </w:rPr>
        <w:t>https://pubmed.ncbi.nlm.nih.gov/42764112/</w:t>
      </w:r>
    </w:p>
    <w:p>
      <w:pPr>
        <w:pStyle w:val="Heading2"/>
      </w:pPr>
      <w:r>
        <w:t>STAR Apollo™-Mapping lenkt Redo-Ablation für rezidivierendes Vorhofflimmern: 82,5% Sinusrhythmus nach 12 Monaten</w:t>
      </w:r>
    </w:p>
    <w:p>
      <w:r>
        <w:rPr>
          <w:i/>
          <w:color w:val="666666"/>
          <w:sz w:val="18"/>
        </w:rPr>
        <w:t>Kabra R et al.  ·  Heart Rhythm  ·  20.09.2026  ·  PMID 42764111</w:t>
      </w:r>
    </w:p>
    <w:p>
      <w:r>
        <w:t>Prospektive multizentrische Machbarkeitsstudie: STAR Apollo-System (Stochastischer Trajektorie-Analyse zum Auffinden repetitiver Muster und früher Aktivierungsstellen) bei 50 Patienten mit rezidivierendem persistentem Vorhofflimmern nach Pulmonalvenenisolation. Follow-up 12 Monate.</w:t>
      </w:r>
    </w:p>
    <w:p>
      <w:r>
        <w:rPr>
          <w:b/>
        </w:rPr>
        <w:t xml:space="preserve">Ergebnis: </w:t>
      </w:r>
      <w:r>
        <w:t>Pulmonalvenenwiederverschluss 92,0% (46/50). Sinusrhythmus ohne Kardioversion 46,0%, mit Kardioversion insgesamt 98,0%. Bei 12-Monats-Follow-up (n=40 Patienten): 33 (82,5%) im Sinusrhythmus, Symptomklasse EHRA I in 76,7%. Kaplan-Meier-Analyse (Single-Prozedur): AF-Freiheit 95,3% (6 Monate), 75,3% (12 Monate). Eine Perikarderguss-Komplikation (2,0%).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USA-Multizenterstudie; System FDA-genehmigt; Machbarkeit und Sicherheit belegt</w:t>
      </w:r>
    </w:p>
    <w:p>
      <w:r>
        <w:rPr>
          <w:color w:val="5A7D3A"/>
          <w:sz w:val="18"/>
        </w:rPr>
        <w:t>https://pubmed.ncbi.nlm.nih.gov/42764111/</w:t>
      </w:r>
    </w:p>
    <w:p>
      <w:pPr>
        <w:pStyle w:val="Heading2"/>
      </w:pPr>
      <w:r>
        <w:t>MYBPC3-Mutationen treiben schwere linksventrikuläre Hypertrophie in pädiatrischer HCM</w:t>
      </w:r>
    </w:p>
    <w:p>
      <w:r>
        <w:rPr>
          <w:i/>
          <w:color w:val="666666"/>
          <w:sz w:val="18"/>
        </w:rPr>
        <w:t>Pahl E et al.  ·  JACC Heart Fail  ·  17.09.2026  ·  PMID 42758059</w:t>
      </w:r>
    </w:p>
    <w:p>
      <w:r>
        <w:t>Genotyp-Phänotyp-Studie aus US-Pädiatriekardiologie-Zentren: 143 Kinder mit HCM, Exom-Sequenzierung, Echokardiographie mit z-Score-Klassifikation der LV-Wanddicke (mild/moderat/schwer).</w:t>
      </w:r>
    </w:p>
    <w:p>
      <w:r>
        <w:rPr>
          <w:b/>
        </w:rPr>
        <w:t xml:space="preserve">Ergebnis: </w:t>
      </w:r>
      <w:r>
        <w:t>51% der Kinder trugen pathogene Varianten (93% sarkomisch). Schwere LVH (28%, n=40) korrelierte mit jüngeres Alter (6,4 vs. 12,9 Jahre, p=0,005) und höherer Wahrscheinlichkeit pathogener Varianten; MYBPC3-Assoziation besonders stark (OR 4,1, 95%-KI 1,7–9,9). Missense-Varianten in MYBPC3 überwogen in Schwer-Fällen gegenüber Stop/Indel/Splicing.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USA-Register; Genotypisierung auch in Deutschland verfügbar; Kinderkardiologie strukturiert</w:t>
      </w:r>
    </w:p>
    <w:p>
      <w:r>
        <w:rPr>
          <w:color w:val="5A7D3A"/>
          <w:sz w:val="18"/>
        </w:rPr>
        <w:t>https://pubmed.ncbi.nlm.nih.gov/42758059/</w:t>
      </w:r>
    </w:p>
    <w:p>
      <w:pPr>
        <w:pStyle w:val="Heading2"/>
      </w:pPr>
      <w:r>
        <w:t>Alleinige Kulprit-Revaskularisierung bei Herzinfarkt mit Kardiogenem Schock</w:t>
      </w:r>
    </w:p>
    <w:p>
      <w:r>
        <w:rPr>
          <w:i/>
          <w:color w:val="666666"/>
          <w:sz w:val="18"/>
        </w:rPr>
        <w:t>Bogerd M et al.  ·  J Am Heart Assoc  ·  18.09.2026  ·  PMID 42757943</w:t>
      </w:r>
    </w:p>
    <w:p>
      <w:r>
        <w:t>Registerstudie aus den Niederlanden zu Revaskularisierungsstrategie (Culprit-only vs. Multivessel) bei akutem Myokardinfarkt mit kardiogenem Schock.</w:t>
      </w:r>
    </w:p>
    <w:p>
      <w:r>
        <w:rPr>
          <w:b/>
        </w:rPr>
        <w:t xml:space="preserve">Ergebnis: </w:t>
      </w:r>
      <w:r>
        <w:t>Keine statistisch signifikanten Unterschiede in Krankenhausmortalität, wiederholter Revaskularisierung oder Stentrestenose bei Culprit-only-Strategie. Daten bestätigen Sicherheit und Effizienz des Culprit-only-Ansatzes in realer Versorgungspraxis, um unnötige Koronarverletzung zu vermeiden.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ähnliches Gesundheitssystem; deutsches Infarktmanagement orientiert sich an europäischen Leitlinien</w:t>
      </w:r>
    </w:p>
    <w:p>
      <w:r>
        <w:rPr>
          <w:color w:val="5A7D3A"/>
          <w:sz w:val="18"/>
        </w:rPr>
        <w:t>https://pubmed.ncbi.nlm.nih.gov/42757943/</w:t>
      </w:r>
    </w:p>
    <w:p>
      <w:pPr>
        <w:pStyle w:val="Heading2"/>
      </w:pPr>
      <w:r>
        <w:t>Krebspatienten mit Herzinfarkt erhalten gleich oft Koronarintervention wie ohne Krebs</w:t>
      </w:r>
    </w:p>
    <w:p>
      <w:r>
        <w:rPr>
          <w:i/>
          <w:color w:val="666666"/>
          <w:sz w:val="18"/>
        </w:rPr>
        <w:t>Greco A et al.  ·  Int J Cardiol  ·  17.09.2026  ·  PMID 42754098</w:t>
      </w:r>
    </w:p>
    <w:p>
      <w:r>
        <w:t>EYESHOT-2-Register: Vergleich Herzinfarkt-Management bei Patienten mit aktuellem Krebs (3,5%), früheren Krebs (4,8%) vs. ohne Krebs; 2797 Patienten in italienischen Herzkliniken.</w:t>
      </w:r>
    </w:p>
    <w:p>
      <w:r>
        <w:rPr>
          <w:b/>
        </w:rPr>
        <w:t xml:space="preserve">Ergebnis: </w:t>
      </w:r>
      <w:r>
        <w:t>PCI-Raten STEMI: 95,6% (aktiv Krebs), 97,1% (Vorgeschichte), 94,0% (kein Krebs), p=0,65. NSTEMI: 69,8%, 73,8%, 73,3%, p=0,84. Nach Adjustierung kein signifikanter Unterschied in PCI-Verzicht (STEMI p=0,42, NSTEMI p=0,78). Blutungskomplikationen in NSTEMI erhöht bei Krebs (5,7 % und 4,6% vs. 1,7%, p=0,03).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europäisches Versicherungssystem; Datenqualität durch nationales ANMCO-Register</w:t>
      </w:r>
    </w:p>
    <w:p>
      <w:r>
        <w:rPr>
          <w:color w:val="5A7D3A"/>
          <w:sz w:val="18"/>
        </w:rPr>
        <w:t>https://pubmed.ncbi.nlm.nih.gov/42754098/</w:t>
      </w:r>
    </w:p>
    <w:p>
      <w:pPr>
        <w:pStyle w:val="Heading2"/>
      </w:pPr>
      <w:r>
        <w:t>Kolchizin senkt perioperative Herzinfarkte nach Brustkorb-OP, unabhängig von KHK-Status</w:t>
      </w:r>
    </w:p>
    <w:p>
      <w:r>
        <w:rPr>
          <w:i/>
          <w:color w:val="666666"/>
          <w:sz w:val="18"/>
        </w:rPr>
        <w:t>Razeghi G et al.  ·  Open Heart  ·  15.09.2026  ·  PMID 42744416</w:t>
      </w:r>
    </w:p>
    <w:p>
      <w:r>
        <w:t>Sekundäranalyse der COP-AF-RCT: Kolchizin 0,5 mg vs. Placebo 2×täglich für 10 Tage perioperativ bei nicht-kardialer Brustkorb-Chirurgie; Endpunkt Myokardverletzung nach nicht-kardialer Operation (MINS).</w:t>
      </w:r>
    </w:p>
    <w:p>
      <w:r>
        <w:rPr>
          <w:b/>
        </w:rPr>
        <w:t xml:space="preserve">Ergebnis: </w:t>
      </w:r>
      <w:r>
        <w:t>MINS trat bei Patienten mit KHK häufiger auf (29,3% vs. 18,2% ohne KHK, adjustiert HR 1,53, 95%-KI 1,22–1,92, p&lt;0,001). Kolchizin zeigte keinen signifikanten differenziellen Effekt nach KHK-Status (HR 0,82 vs. 0,91, p für Interaktion=0,61). Für Endpunkt Death/Stroke/MINS: aHR 1,53 (95%-KI 1,22–1,91) bei KHK.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Multi-nationale RCT (Kanada, Europa, Asien), europäische Chirurgieleitlinien übertragbar</w:t>
      </w:r>
    </w:p>
    <w:p>
      <w:r>
        <w:rPr>
          <w:color w:val="5A7D3A"/>
          <w:sz w:val="18"/>
        </w:rPr>
        <w:t>https://pubmed.ncbi.nlm.nih.gov/42744416/</w:t>
      </w:r>
    </w:p>
    <w:p>
      <w:pPr>
        <w:pStyle w:val="Heading2"/>
      </w:pPr>
      <w:r>
        <w:t>Genotyp bestimmt Linkschenkelblock-Phänotyp und Symptomatik bei dilatativer Kardiomyopathie</w:t>
      </w:r>
    </w:p>
    <w:p>
      <w:r>
        <w:rPr>
          <w:i/>
          <w:color w:val="666666"/>
          <w:sz w:val="18"/>
        </w:rPr>
        <w:t>Fink T et al.  ·  Eur J Heart Fail  ·  04.09.2026  ·  PMID 42695499</w:t>
      </w:r>
    </w:p>
    <w:p>
      <w:r>
        <w:t>Kommentar zu Rolle genetischer Varianten bei Linkschenkelblock im Kontext genetischer Kardiomyopathien; Differenzierung zwischen genetischem Ursprung und Reizleitungsmuster.</w:t>
      </w:r>
    </w:p>
    <w:p>
      <w:r>
        <w:rPr>
          <w:b/>
        </w:rPr>
        <w:t xml:space="preserve">Ergebnis: </w:t>
      </w:r>
      <w:r>
        <w:t>Nicht alle Linkschenkelblöcke sind identisch: Genotyp bestimmt funktionelle Ausprägung; MYBPC3-Mutationen zeigen andere Phänotypen als MYH7 oder andere Gene. Implikation für CRT-Indikation und therapeutische 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Deutschland/Österreich, DZHK-beteilte Zentren; Genotypisierung in Spezialkliniken verfügbar</w:t>
      </w:r>
    </w:p>
    <w:p>
      <w:r>
        <w:rPr>
          <w:color w:val="5A7D3A"/>
          <w:sz w:val="18"/>
        </w:rPr>
        <w:t>https://pubmed.ncbi.nlm.nih.gov/42695499/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