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10.09.2026  |  6 Studien  |  kardio.m-vf.de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Selektive Adipokinmodulierung verbessert HFpEF-Parameter stärker als Hämodynamik-Targeting</w:t>
      </w:r>
    </w:p>
    <w:p>
      <w:r>
        <w:rPr>
          <w:i/>
          <w:color w:val="666666"/>
          <w:sz w:val="18"/>
        </w:rPr>
        <w:t>Packer M et al.  ·  JACC Heart Fail  ·  08.09.2026  ·  PMID 42714366</w:t>
      </w:r>
    </w:p>
    <w:p>
      <w:r>
        <w:t>Analyse von HFpEF-Patienten (veröffentlichtes abstract, methodische Fokusstudie), Vergleich der Effekte von gerichteter Adipokinmodulation versus traditioneller hämodynamischer Therapieoptimierung.</w:t>
      </w:r>
    </w:p>
    <w:p>
      <w:r>
        <w:rPr>
          <w:b/>
        </w:rPr>
        <w:t xml:space="preserve">Ergebnis: </w:t>
      </w:r>
      <w:r>
        <w:t>Gezielte Adipokinmodulation führte zu messbaren Verbesserungen der linksventrikulären Funktion und Struktur; Hämodynamik-only-Ansätze zeigten weniger Benefit. Hinweis auf Bedeutung inflammatorischer und metabolischer Pathways bei HFpEF.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Mechanismusstudie, USA-Setting, aber adipokine Targets sind universell relevant.</w:t>
      </w:r>
    </w:p>
    <w:p>
      <w:r>
        <w:rPr>
          <w:color w:val="5A7D3A"/>
          <w:sz w:val="18"/>
        </w:rPr>
        <w:t>https://pubmed.ncbi.nlm.nih.gov/42714366/</w:t>
      </w:r>
    </w:p>
    <w:p>
      <w:pPr>
        <w:pStyle w:val="Heading2"/>
      </w:pPr>
      <w:r>
        <w:t>Kombinierte Pulmonalvenenisolation und Vorhofohrkauerstöpselung mit gepulstem Feldablation ist sicher und wirksam</w:t>
      </w:r>
    </w:p>
    <w:p>
      <w:r>
        <w:rPr>
          <w:i/>
          <w:color w:val="666666"/>
          <w:sz w:val="18"/>
        </w:rPr>
        <w:t>Heeger CH et al.  ·  Europace  ·  02.09.2026  ·  PMID 42713747</w:t>
      </w:r>
    </w:p>
    <w:p>
      <w:r>
        <w:t>Retrospektive multizentrische Registerstudie zu 155 Patienten aus neun europäischen Ländern, die sich einer gleichzeitigen gepulsten Feldablation-basierten Pulmonalvenenisolation und Vorhofohrkauerstöpselung unterzogen.</w:t>
      </w:r>
    </w:p>
    <w:p>
      <w:r>
        <w:rPr>
          <w:b/>
        </w:rPr>
        <w:t xml:space="preserve">Ergebnis: </w:t>
      </w:r>
      <w:r>
        <w:t>Primärer Wirksamkeitsendpunkt erreicht bei 97,4 % (PVI erfolgreich 100 %, Verschluss 97,4 %), ernsthafte Nebenwirkungen bei 1,9 %. Sinusrhythmus bei 78,1 % der Patienten mit Follow-up &gt;6 Monate. Eine seltene Komplikation; insgesamt ein praxisrelevantes, kombiniertes Verfahren.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europäische Zentren, deutsche Standorte beteiligt, vergleichbare Strukturen.</w:t>
      </w:r>
    </w:p>
    <w:p>
      <w:r>
        <w:rPr>
          <w:color w:val="5A7D3A"/>
          <w:sz w:val="18"/>
        </w:rPr>
        <w:t>https://pubmed.ncbi.nlm.nih.gov/42713747/</w:t>
      </w:r>
    </w:p>
    <w:p>
      <w:pPr>
        <w:pStyle w:val="Heading2"/>
      </w:pPr>
      <w:r>
        <w:t>LGE-Korridore und Hochrisiko-Genotyp vorhersagen Herzrhythmusstörungen in dilatativer Kardiomyopathie besser als EF ≤35 %</w:t>
      </w:r>
    </w:p>
    <w:p>
      <w:r>
        <w:rPr>
          <w:i/>
          <w:color w:val="666666"/>
          <w:sz w:val="18"/>
        </w:rPr>
        <w:t>Ramos-López N et al.  ·  Circulation  ·  08.09.2026  ·  PMID 42708210</w:t>
      </w:r>
    </w:p>
    <w:p>
      <w:r>
        <w:t>Retrospektive multizentrische europäische Studie mit 925 Patienten mit nichtischämischer Kardiomyopathie, Analyse von Spätanreicherungsmustern im MRT und genetischen Varianten zur Vorhersage maligner ventrikulärer Arrhythmien.</w:t>
      </w:r>
    </w:p>
    <w:p>
      <w:r>
        <w:rPr>
          <w:b/>
        </w:rPr>
        <w:t xml:space="preserve">Ergebnis: </w:t>
      </w:r>
      <w:r>
        <w:t>Nach Median-Follow-up 5,4 Jahre 95 Ereignisse (10,3 %). Pro Läsionskanal im LGE: Subdistribution Hazard Ratio 1,25 (95 % CI 1,11–1,42; p&lt;0,001). Hochrisikogenotpyen: SHR 2,28 (95 % CI 1,32–3,96; p=0,003). Optimales Cutoff ≥4 Korridore. Fünf-Jahres-C-Index 0,72 vs. 0,57 (EF ≤35 %-Klassifikation).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22 europäische Zentren, Europa-weite Kooperation, aber spezialisierte CMR/Genetik-Expertise erforderlich.</w:t>
      </w:r>
    </w:p>
    <w:p>
      <w:r>
        <w:rPr>
          <w:color w:val="5A7D3A"/>
          <w:sz w:val="18"/>
        </w:rPr>
        <w:t>https://pubmed.ncbi.nlm.nih.gov/42708210/</w:t>
      </w:r>
    </w:p>
    <w:p>
      <w:pPr>
        <w:pStyle w:val="Heading2"/>
      </w:pPr>
      <w:r>
        <w:t>Lipidsenker-Therapieintensivierung würde in Dänemark 589 Schlaganfälle jährlich verhindern</w:t>
      </w:r>
    </w:p>
    <w:p>
      <w:r>
        <w:rPr>
          <w:i/>
          <w:color w:val="666666"/>
          <w:sz w:val="18"/>
        </w:rPr>
        <w:t>Mohamed AA et al.  ·  Open Heart  ·  07.09.2026  ·  PMID 42705842</w:t>
      </w:r>
    </w:p>
    <w:p>
      <w:r>
        <w:t>Landesweite dänische Kohortenstudie mit 487.962 Patienten mit hohem oder sehr hohem Atheroskleroserisiko, Messung der LDL-Cholesterin-Zielwert-Erreichung und Modellierung der Auswirkungen von Leitlinienimplementierung.</w:t>
      </w:r>
    </w:p>
    <w:p>
      <w:r>
        <w:rPr>
          <w:b/>
        </w:rPr>
        <w:t xml:space="preserve">Ergebnis: </w:t>
      </w:r>
      <w:r>
        <w:t>Aktuelle Zielerreichung Primärprävention 39,8 % (dänisch) bzw. 15,1 % (europäisch), Sekundärprävention 18,8 %. Mit optimaler Umsetzung Steigerung auf 91,9 % (dänisch) bzw. 75,8 % (europäisch). Implementierung würde 589 Schlaganfälle, 491 Herzinfarkte, 581 Revaskularisationen, 196 kardiovaskuläre Todesfälle jährlich verhindern; 15,8 Mio. € Kosteneinsparung.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nordeuropäisches Versicherungssystem, aber restriktivere PCSK9-Inhibitor-Erstattung.</w:t>
      </w:r>
    </w:p>
    <w:p>
      <w:r>
        <w:rPr>
          <w:color w:val="5A7D3A"/>
          <w:sz w:val="18"/>
        </w:rPr>
        <w:t>https://pubmed.ncbi.nlm.nih.gov/42705842/</w:t>
      </w:r>
    </w:p>
    <w:p>
      <w:pPr>
        <w:pStyle w:val="Heading2"/>
      </w:pPr>
      <w:r>
        <w:t>Temperaturextreme und Herzinsuffizienzeinweisungen in Schweden: Kältewellen erhöhen Risiko um 8,5 %</w:t>
      </w:r>
    </w:p>
    <w:p>
      <w:r>
        <w:rPr>
          <w:i/>
          <w:color w:val="666666"/>
          <w:sz w:val="18"/>
        </w:rPr>
        <w:t>Ni W et al.  ·  J Am Coll Cardiol  ·  01.09.2026  ·  PMID 42683967</w:t>
      </w:r>
    </w:p>
    <w:p>
      <w:r>
        <w:t>Bevölkerungsweite Fall-Crossover-Studie in Schweden mit 482.000 Herzinsuffizienzeinweisungen 2006–2021, Analyse der Assoziation mit Kältephasen und Hitzewellen.</w:t>
      </w:r>
    </w:p>
    <w:p>
      <w:r>
        <w:rPr>
          <w:b/>
        </w:rPr>
        <w:t xml:space="preserve">Ergebnis: </w:t>
      </w:r>
      <w:r>
        <w:t>Kältephasen/niedrigere Temperaturen (lag 2–6 Tage): OR 1,085 für kumulative Assoziation (95 % CI 1,042–1,129). Höhere Temperaturen (lag 0–3): OR 1,009 pro 10-Perzentil-Anstieg (95 % CI 1,006–1,013). Höhere Risiken verzögert bei Kälte, unmittelbar bei Hitze.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aber klimageografische Besonderheiten; Befund temperaturunabhängig übertragbar.</w:t>
      </w:r>
    </w:p>
    <w:p>
      <w:r>
        <w:rPr>
          <w:color w:val="5A7D3A"/>
          <w:sz w:val="18"/>
        </w:rPr>
        <w:t>https://pubmed.ncbi.nlm.nih.gov/42683967/</w:t>
      </w:r>
    </w:p>
    <w:p>
      <w:pPr>
        <w:pStyle w:val="Heading2"/>
      </w:pPr>
      <w:r>
        <w:t>Diabetische Kardiomyopathie: Expertenpapier zur Abgrenzung als eigenständige Erkrankung</w:t>
      </w:r>
    </w:p>
    <w:p>
      <w:r>
        <w:rPr>
          <w:i/>
          <w:color w:val="666666"/>
          <w:sz w:val="18"/>
        </w:rPr>
        <w:t>Seferovic P et al.  ·  Eur Heart J  ·  02.09.2026  ·  PMID 42681860</w:t>
      </w:r>
    </w:p>
    <w:p>
      <w:r>
        <w:t>Expertenkonsensus-Review zur Frage, ob diabetische Kardiomyopathie als eigenständiger Phänotyp zu definieren ist, mit Diskussion von pathophysiologischen Mechanismen und klinischen Implikationen.</w:t>
      </w:r>
    </w:p>
    <w:p>
      <w:r>
        <w:rPr>
          <w:b/>
        </w:rPr>
        <w:t xml:space="preserve">Ergebnis: </w:t>
      </w:r>
      <w:r>
        <w:t>Mehrheitliche Übereinkunft: Diabetische Kardiomyopathie ist ein eigenständiges Syndrom mit charakteristischen Muskel-, Stoffwechsel- und entzündlichen Merkmalen; Unterscheidung von rein ischämischer oder hypertensiver Kardiomyopathie gerechtfertigt. Empfehlung für zukünftige therapeutische Ansätze.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Expertenkonsens international, Leitlinien-relevant für Diabetes-Kardiologie-Interface in Deutschland.</w:t>
      </w:r>
    </w:p>
    <w:p>
      <w:r>
        <w:rPr>
          <w:color w:val="5A7D3A"/>
          <w:sz w:val="18"/>
        </w:rPr>
        <w:t>https://pubmed.ncbi.nlm.nih.gov/42681860/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2026-09-10T06:00:00Z</dcterms:created>
  <dcterms:modified xsi:type="dcterms:W3CDTF">2026-09-10T06:00:00Z</dcterms:modified>
  <cp:category/>
</cp:coreProperties>
</file>