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18.09.2026  |  6 Studien  |  kardio.m-vf.de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Linksatriale Dehnung zeigt NT-proBNP-Belastung bei fettleibigen HFpEF-Patienten an</w:t>
      </w:r>
    </w:p>
    <w:p>
      <w:r>
        <w:rPr>
          <w:i/>
          <w:color w:val="666666"/>
          <w:sz w:val="18"/>
        </w:rPr>
        <w:t>Mandoli GE et al.  ·  Int J Cardiol  ·  17.09.2026  ·  PMID 42754101</w:t>
      </w:r>
    </w:p>
    <w:p>
      <w:r>
        <w:t>Einzenter-Retrospektivstudie mit 118 adipösen Patienten (BMI ≥ 30 kg/m²) mit HFpEF untersuchte, ob globales Peak Atrial Longitudinal Strain (PALS) mit NT-proBNP und 6-Minuten-Gehtest assoziiert ist.</w:t>
      </w:r>
    </w:p>
    <w:p>
      <w:r>
        <w:rPr>
          <w:b/>
        </w:rPr>
        <w:t xml:space="preserve">Ergebnis: </w:t>
      </w:r>
      <w:r>
        <w:t>Medianes globales PALS war 23,0 % [17,3-30,8], E/e'-Ratio 10 [8-13]. Globales PALS war unabhängig und invers mit ln(NT-proBNP) assoziiert (β = -0,045; 95%-KI -0,070 bis -0,019; p &lt; 0,001). Atriale Steifheit war unabhängig mit ln(NT-proBNP) (β = 0,27; p = 0,014) und 6MWT (β = -9,3; p = 0,046) assoziiert. LA-Dehnung und Steifheit liefern komplementäre Informationen zur hämodynamischen Last bei adipösen HFpEF-Patienten.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Universitätsklinik, Echokardiographie-Parameter für HFpEF-Phenotypisierung in Deutschland etabliert.</w:t>
      </w:r>
    </w:p>
    <w:p>
      <w:r>
        <w:rPr>
          <w:color w:val="5A7D3A"/>
          <w:sz w:val="18"/>
        </w:rPr>
        <w:t>https://pubmed.ncbi.nlm.nih.gov/42754101/</w:t>
      </w:r>
    </w:p>
    <w:p>
      <w:pPr>
        <w:pStyle w:val="Heading2"/>
      </w:pPr>
      <w:r>
        <w:t>RAISE-Score validiert Transthyretin-Amyloidose bei schwerer Aortenstenose im Katheterlabor nur mäßig</w:t>
      </w:r>
    </w:p>
    <w:p>
      <w:r>
        <w:rPr>
          <w:i/>
          <w:color w:val="666666"/>
          <w:sz w:val="18"/>
        </w:rPr>
        <w:t>Guerra ÁR et al.  ·  Int J Cardiol  ·  17.09.2026  ·  PMID 42754100</w:t>
      </w:r>
    </w:p>
    <w:p>
      <w:r>
        <w:t>Prospektive externe Validierung des RAISE-Scores zur Diagnose transthyretin-assoziierter kardialer Amyloidose (ATTR-CA) bei 340 Patienten mit schwerer AS zur TAVI.</w:t>
      </w:r>
    </w:p>
    <w:p>
      <w:r>
        <w:rPr>
          <w:b/>
        </w:rPr>
        <w:t xml:space="preserve">Ergebnis: </w:t>
      </w:r>
      <w:r>
        <w:t>ATTR-CA lag bei 4,1 % (14 Fälle) vor. ATTR-CA-Patienten waren älter (83,5 ± 6,7 vs. 79,1 ± 6,1 Jahre), zeigten mehr Pseudo-Infarkt-Muster (50 % vs. 10,3 %), niedrigere LVEF (50,1 ± 16,1 % vs. 62,4 ± 14,1 %) und schlechtere globale longitudinale Dehnung (-11,4 ± 5,8 vs. -18,3 ± 5,2). RAISE-Score ≥ 2 assoziierte mit höherer ATTR-CA-Prävalenz (7,2 % vs. 2,3 %; p = 0,044); AUC war 0,69 (p = 0,016). Der Score zeigt moderate Diskriminationsfähigkeit, deutlich niedriger als ursprünglich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prospektive Validierungsstudie, Erkenntnisse zum ATTR-CA-Screening bei AS in Europa relevant.</w:t>
      </w:r>
    </w:p>
    <w:p>
      <w:r>
        <w:rPr>
          <w:color w:val="5A7D3A"/>
          <w:sz w:val="18"/>
        </w:rPr>
        <w:t>https://pubmed.ncbi.nlm.nih.gov/42754100/</w:t>
      </w:r>
    </w:p>
    <w:p>
      <w:pPr>
        <w:pStyle w:val="Heading2"/>
      </w:pPr>
      <w:r>
        <w:t>Enge Kopplungsintervalle in ventrikulären Salven präsagen plötzlichen Herztod bei Hypertrophischer Kardiomyopathie</w:t>
      </w:r>
    </w:p>
    <w:p>
      <w:r>
        <w:rPr>
          <w:i/>
          <w:color w:val="666666"/>
          <w:sz w:val="18"/>
        </w:rPr>
        <w:t>Zhang Y et al.  ·  Europace  ·  02.09.2026  ·  PMID 42749293</w:t>
      </w:r>
    </w:p>
    <w:p>
      <w:r>
        <w:t>Retrospektive Multizenterstudie mit 2.625 HCM-Patienten untersuchte, ob Charakteristika von nicht-anhaltenden ventrikulären Tachykardien (NSVT) das Plötzlichen-Tod-Risiko stratifizieren.</w:t>
      </w:r>
    </w:p>
    <w:p>
      <w:r>
        <w:rPr>
          <w:b/>
        </w:rPr>
        <w:t xml:space="preserve">Ergebnis: </w:t>
      </w:r>
      <w:r>
        <w:t>In 320 Patienten (12,4 %) traten NSVT auf. Das zweite Kopplungsintervall war stärkster Prädiktor (optimaler Cut-off 394 ms). Ein Intervall &lt; 394 ms erhöhte das SCD-Risiko stark (HR 8,36; 95%-KI 4,33-16,12; p &lt; 0,001) gegenüber Abwesenheit von NSVT, während ≥ 394 ms nicht prognostisch war. Differenzierte NSVT-Analyse verbesserte SCD-Risikoalgorithmen und könnte ICD-Implantation-Entscheidungen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Multizenterstudie, etablierte Erkenntnisse zur HCM-Risikostratifizierung bestätigt.</w:t>
      </w:r>
    </w:p>
    <w:p>
      <w:r>
        <w:rPr>
          <w:color w:val="5A7D3A"/>
          <w:sz w:val="18"/>
        </w:rPr>
        <w:t>https://pubmed.ncbi.nlm.nih.gov/42749293/</w:t>
      </w:r>
    </w:p>
    <w:p>
      <w:pPr>
        <w:pStyle w:val="Heading2"/>
      </w:pPr>
      <w:r>
        <w:t>Nodales Hub-Spoke-System reduziert Kardiogener-Schock-Mortalität durch Zentralisierung und Versorgungskoordination</w:t>
      </w:r>
    </w:p>
    <w:p>
      <w:r>
        <w:rPr>
          <w:i/>
          <w:color w:val="666666"/>
          <w:sz w:val="18"/>
        </w:rPr>
        <w:t>Samsky MD et al.  ·  Circ Heart Fail  ·  15.09.2026  ·  PMID 42743341</w:t>
      </w:r>
    </w:p>
    <w:p>
      <w:r>
        <w:t>Ein Expertenkonsensus-Artikel der American Heart Association fordert ein knotenpunktbasiertes regionales Versorgungssystem für kardiogenen Schock mit gestaffelten Hospitalsebenen, standardisierten Protokollen und strukturierter Verlegung.</w:t>
      </w:r>
    </w:p>
    <w:p>
      <w:r>
        <w:rPr>
          <w:b/>
        </w:rPr>
        <w:t xml:space="preserve">Ergebnis: </w:t>
      </w:r>
      <w:r>
        <w:t>Beobachtungsdaten deuten auf Assoziation zwischen strukturierter multidisziplinärer Versorgung, regionalen Netzwerken und konsistenterer Leistungserbringung hin; randomisierte Kausalbeweise fehlen noch. Ein für alle Ursachen und Schweregrade ausgelegtes nationales Registersystem wird empfohlen. Das System sollte Transport nach Schock-Phänotyp und Zielstrategie steuern, nicht nach Geografie; Erfolg sollte Timing, Outcomes und Chancengleichheit umfassen.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USA-Konsensus für kardiale Versorgungsstrukturierung; Konzept der Zentralisierung und Netzwerkbildung auf deutsches DRG-System mit Herzzentren übertragbar.</w:t>
      </w:r>
    </w:p>
    <w:p>
      <w:r>
        <w:rPr>
          <w:color w:val="5A7D3A"/>
          <w:sz w:val="18"/>
        </w:rPr>
        <w:t>https://pubmed.ncbi.nlm.nih.gov/42743341/</w:t>
      </w:r>
    </w:p>
    <w:p>
      <w:pPr>
        <w:pStyle w:val="Heading2"/>
      </w:pPr>
      <w:r>
        <w:t>Diabetes erhöht Reinfarkt- und kardiales Scheitern nach PCI, OCT hilft nicht</w:t>
      </w:r>
    </w:p>
    <w:p>
      <w:r>
        <w:rPr>
          <w:i/>
          <w:color w:val="666666"/>
          <w:sz w:val="18"/>
        </w:rPr>
        <w:t>Gaede L et al.  ·  JACC Cardiovasc Interv  ·  14.09.2026  ·  PMID 42735969</w:t>
      </w:r>
    </w:p>
    <w:p>
      <w:r>
        <w:t>Die ILUMIEN-IV-Studie untersuchte, ob optische Kohärenztomographie (OCT) gegenüber Angiographie die Outcome-Raten bei 2.487 PCI-Patienten mit und ohne Diabetes über 2 Jahre verbessert.</w:t>
      </w:r>
    </w:p>
    <w:p>
      <w:r>
        <w:rPr>
          <w:b/>
        </w:rPr>
        <w:t xml:space="preserve">Ergebnis: </w:t>
      </w:r>
      <w:r>
        <w:t>Patienten mit Diabetes hatten höhere Target-Vessel-Failure-Raten (9,9 % vs. 6,3 %; adjustierte HR 1,48; p = 0,01) und schwerwiegende MACE (5,3 % vs. 2,7 %; adjustierte HR 1,77; p = 0,01) als Nicht-Diabetiker; OCT-Führung reduzierte weder TVF noch MACE in beiden Gruppen (p = 0,41 bzw. 0,20). Diabetes bleibt ein starker Prädiktor für Komplikationen nach PCI, unabhängig von Bildgebungstechnik.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Studie mit europäischen Zentren, Ergebnisse auf DMP-KHK-Patienten übertragbar.</w:t>
      </w:r>
    </w:p>
    <w:p>
      <w:r>
        <w:rPr>
          <w:color w:val="5A7D3A"/>
          <w:sz w:val="18"/>
        </w:rPr>
        <w:t>https://pubmed.ncbi.nlm.nih.gov/42735969/</w:t>
      </w:r>
    </w:p>
    <w:p>
      <w:pPr>
        <w:pStyle w:val="Heading2"/>
      </w:pPr>
      <w:r>
        <w:t>Hochsensitives Troponin T übertrifft NT-proBNP bei Prädiktion der Sterblichkeit nach nicht-kardialem Eingriff</w:t>
      </w:r>
    </w:p>
    <w:p>
      <w:r>
        <w:rPr>
          <w:i/>
          <w:color w:val="666666"/>
          <w:sz w:val="18"/>
        </w:rPr>
        <w:t>Kirkopoulos A et al.  ·  J Am Heart Assoc  ·  15.09.2026  ·  PMID 42714475</w:t>
      </w:r>
    </w:p>
    <w:p>
      <w:r>
        <w:t>Sekundäranalyse der METREPAIR- und MINSS-Studien verglich die Vorhersageleistung von Hochsensitiv-Troponin T (hs-TnT) und NT-proBNP für 30-Tage-MACE und Mortalität nach Elektiveingriff ohne Herzerkrankung bei 2.251 Hochrisikopatienten.</w:t>
      </w:r>
    </w:p>
    <w:p>
      <w:r>
        <w:rPr>
          <w:b/>
        </w:rPr>
        <w:t xml:space="preserve">Ergebnis: </w:t>
      </w:r>
      <w:r>
        <w:t>MACE trat bei 5,8 % und Mortalität bei 1,6 % auf. Nur hs-TnT verbesserte die Diskrimination für Mortalität (AUC 0,680 vs. 0,674; Δ = 0,006; p = 0,047); praktischer Nutzen beider Biomarker über RCRI und Alter war limitiert. hs-TnT war NT-proBNP marginal überlegen.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prospektive Multizenterstudie (Schweiz, Niederlande, Skandinavien), direkt auf deutsches Perioperativ-Management übertragbar.</w:t>
      </w:r>
    </w:p>
    <w:p>
      <w:r>
        <w:rPr>
          <w:color w:val="5A7D3A"/>
          <w:sz w:val="18"/>
        </w:rPr>
        <w:t>https://pubmed.ncbi.nlm.nih.gov/42714475/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