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Kardiologie</w:t>
      </w:r>
    </w:p>
    <w:p>
      <w:r>
        <w:rPr>
          <w:i/>
          <w:color w:val="666666"/>
          <w:sz w:val="18"/>
        </w:rPr>
        <w:t>Stand: 22.10.2026  |  6 Studien  |  kardio.m-vf.de</w:t>
      </w:r>
    </w:p>
    <w:p>
      <w:pPr>
        <w:pStyle w:val="Heading1"/>
      </w:pPr>
      <w:r>
        <w:t>Aufgenommen am 22.10.2026</w:t>
      </w:r>
    </w:p>
    <w:p>
      <w:pPr>
        <w:pStyle w:val="Heading2"/>
      </w:pPr>
      <w:r>
        <w:t>Finerenone senkt Sterblichkeit stärker als steroidale MRA bei Diabetes und Nierenerkrankung</w:t>
      </w:r>
    </w:p>
    <w:p>
      <w:r>
        <w:rPr>
          <w:i/>
          <w:color w:val="666666"/>
          <w:sz w:val="18"/>
        </w:rPr>
        <w:t>Kishimori T et al.  ·  ESC Heart Fail  ·  19.10.2026  ·  PMID 42902439</w:t>
      </w:r>
    </w:p>
    <w:p>
      <w:r>
        <w:t>Retrospektive Beobachtungsstudie an 1.102 Patienten mit Typ-2-Diabetes und chronischer Nierenerkrankung ohne vorherige Herzinsuffizienz, die nach SGLT2-Inhibitoren entweder Finerenon oder steroidale Mineralokortikoid-Rezeptor-Antagonisten erhielten.</w:t>
      </w:r>
    </w:p>
    <w:p>
      <w:r>
        <w:rPr>
          <w:b/>
        </w:rPr>
        <w:t xml:space="preserve">Ergebnis: </w:t>
      </w:r>
      <w:r>
        <w:t>Finerenon war mit niedrigerer 18-Monats-Sterblichkeit (2,1 vs. 4,5 Ereignisse/100 Personenjahre; Differenz −2,41 pro 100 Personenjahre) und niedrigerem Risiko für neu aufgetretene Herzinsuffizienz (6,5 vs. 12,9; Differenz −6,38) assoziiert. Kein signifikanter Unterschied bei Nierenergebnissen. Die Autoren weisen auf residuelles Confounding hin.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Japan, real-world-Daten aus strukturiertem Register; SGLT2-Hemmer sind in Deutschland DMP-Standard.</w:t>
      </w:r>
    </w:p>
    <w:p>
      <w:r>
        <w:rPr>
          <w:color w:val="5A7D3A"/>
          <w:sz w:val="18"/>
        </w:rPr>
        <w:t>https://pubmed.ncbi.nlm.nih.gov/42902439/</w:t>
      </w:r>
    </w:p>
    <w:p>
      <w:pPr>
        <w:pStyle w:val="Heading2"/>
      </w:pPr>
      <w:r>
        <w:t>Bewegungstraining bei älteren Herzinsuffizienz-Patienten mit Gebrechlichkeit: Machbar und wirksam</w:t>
      </w:r>
    </w:p>
    <w:p>
      <w:r>
        <w:rPr>
          <w:i/>
          <w:color w:val="666666"/>
          <w:sz w:val="18"/>
        </w:rPr>
        <w:t>Krishnan S et al.  ·  ESC Heart Fail  ·  21.10.2026  ·  PMID 42902357</w:t>
      </w:r>
    </w:p>
    <w:p>
      <w:r>
        <w:t>Narratives Review zu Belastungstraining bei älteren Patienten mit Herzinsuffizienz und Gebrechlichkeit, mit Fokus auf Pathophysiologie, Sicherheit, optimale Programmgestaltung und Adherence-Strategien.</w:t>
      </w:r>
    </w:p>
    <w:p>
      <w:r>
        <w:rPr>
          <w:b/>
        </w:rPr>
        <w:t xml:space="preserve">Ergebnis: </w:t>
      </w:r>
      <w:r>
        <w:t>Bewegungstraining verbessert sowohl die kardiopulmonale Kapazität als auch den Gebrechlichkeitsstatus und reduziert herzinsuffizienzbedingte Komplikationen. Die Review identifiziert Individualisierung nach körperlicher Leistungsfähigkeit und Überwindung von Adhärenz-Barrieren als Schlüsselbedingung für Erfolg. Detaillierte Empfehlungen zur Programmgestaltung werden gegeben.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 (NIHR Leicester); Rehabilitations-Standards sind europäisch etabliert, übertragbar auf deutsche Cardiac-Rehabilitation-Programme.</w:t>
      </w:r>
    </w:p>
    <w:p>
      <w:r>
        <w:rPr>
          <w:color w:val="5A7D3A"/>
          <w:sz w:val="18"/>
        </w:rPr>
        <w:t>https://pubmed.ncbi.nlm.nih.gov/42902357/</w:t>
      </w:r>
    </w:p>
    <w:p>
      <w:pPr>
        <w:pStyle w:val="Heading2"/>
      </w:pPr>
      <w:r>
        <w:t>Drug-Coated Balloons senken Restenose an Seitenasten von Bifurkationsläsionen</w:t>
      </w:r>
    </w:p>
    <w:p>
      <w:r>
        <w:rPr>
          <w:i/>
          <w:color w:val="666666"/>
          <w:sz w:val="18"/>
        </w:rPr>
        <w:t>Ishihara T et al.  ·  Circ Cardiovasc Interv  ·  29.05.2026  ·  PMID 42900708</w:t>
      </w:r>
    </w:p>
    <w:p>
      <w:r>
        <w:t>Multizentrische randomisierte offene Studie mit 299 Patienten mit Bifurkationsläsionen, die Drug-Eluting-Stent (DES) in Hauptstamm erhielten und randomisiert zu zusätzlicher Dilatation der Seitenast mit Drug-Coated Balloon (DCB) oder konventionellem Ballon zugeteilt wurden.</w:t>
      </w:r>
    </w:p>
    <w:p>
      <w:r>
        <w:rPr>
          <w:b/>
        </w:rPr>
        <w:t xml:space="preserve">Ergebnis: </w:t>
      </w:r>
      <w:r>
        <w:t>Restenose der Seitenast nach 9 Monaten/1 Jahr war in der DCB-Gruppe niedriger als in der Non-DCB-Gruppe (8,1 % vs. 18,3 %, p=0,012). Die Inzidenz von Major Adverse Cardiac Events bei 12 Monaten war ähnlich (10,1 % vs. 12,4 %, p=0,58).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Japan, kathetergestützte Intervention; Methodologie vergleichbar mit europäischen Standards, Ergebnis relevant für interventionelle Kardiologie.</w:t>
      </w:r>
    </w:p>
    <w:p>
      <w:r>
        <w:rPr>
          <w:color w:val="5A7D3A"/>
          <w:sz w:val="18"/>
        </w:rPr>
        <w:t>https://pubmed.ncbi.nlm.nih.gov/42900708/</w:t>
      </w:r>
    </w:p>
    <w:p>
      <w:pPr>
        <w:pStyle w:val="Heading2"/>
      </w:pPr>
      <w:r>
        <w:t>IL-30 von Herzmuskelzellen reduziert Entzündung und Umbau nach Herzinfarkt</w:t>
      </w:r>
    </w:p>
    <w:p>
      <w:r>
        <w:rPr>
          <w:i/>
          <w:color w:val="666666"/>
          <w:sz w:val="18"/>
        </w:rPr>
        <w:t>Chen S et al.  ·  Basic Res Cardiol  ·  20.10.2026  ·  PMID 42900195</w:t>
      </w:r>
    </w:p>
    <w:p>
      <w:r>
        <w:t>Experimentelle Studie in transgenen Mäusen und Humanmaterial (n=75 STEMI-Patienten, longitudinale Kohorte n=247): IL-30-Mangel in Kardiomyozyten verstärkt Immunantwort der Milz und verschlechtert Herzfunktion; Effekt über B-Zell-Signaling via Glycoprotein 130.</w:t>
      </w:r>
    </w:p>
    <w:p>
      <w:r>
        <w:rPr>
          <w:b/>
        </w:rPr>
        <w:t xml:space="preserve">Ergebnis: </w:t>
      </w:r>
      <w:r>
        <w:t>Bei IL-30-defizienten Mäusen stieg Myokard-IgG-Ablagerung und Kardiomyozyten-Apoptose, Herzfunktion verschlechterte sich. Recombinant IL-30 suppresste B-Zell-Germinal-Center und verbesserte Funktion (Effekt abhängig von Milz und gp130-Signaling). Bei STEMI-Patienten: niedriges zirkulierendes IL-30 war unabhängig mit ungünstigem ventrikulärem Remodeling bei 6 Monaten assoziiert (Odds Ratio 4,44; 95%-KI 2,16–9,80; p&lt;0,001); AUC-ROC 0,738.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 (Humankohorte Fudan University Shanghai); Mechanismus mit klinischem Biomarker-Befund, Grundlage für zukünftige therapeutische Ansätze.</w:t>
      </w:r>
    </w:p>
    <w:p>
      <w:r>
        <w:rPr>
          <w:color w:val="5A7D3A"/>
          <w:sz w:val="18"/>
        </w:rPr>
        <w:t>https://pubmed.ncbi.nlm.nih.gov/42900195/</w:t>
      </w:r>
    </w:p>
    <w:p>
      <w:pPr>
        <w:pStyle w:val="Heading2"/>
      </w:pPr>
      <w:r>
        <w:t>Stickoxid-Exposition erhöht Vorhofflimmer-Risiko um 29 %</w:t>
      </w:r>
    </w:p>
    <w:p>
      <w:r>
        <w:rPr>
          <w:i/>
          <w:color w:val="666666"/>
          <w:sz w:val="18"/>
        </w:rPr>
        <w:t>Cannon EJ et al.  ·  Heart Rhythm  ·  16.10.2026  ·  PMID 42887622</w:t>
      </w:r>
    </w:p>
    <w:p>
      <w:r>
        <w:t>Prospektive Kohortenstudie an 6.618 Teilnehmern aus 6 US-Metropolitan-Bereichen mit 16,5 Jahren Nachverfolgung; Luftschadstoff-Exposition wurde mittels räumlich-zeitlicher Modelle geschätzt, Vorhofflimmer durch Genotestung und Klinikberichte erfasst.</w:t>
      </w:r>
    </w:p>
    <w:p>
      <w:r>
        <w:rPr>
          <w:b/>
        </w:rPr>
        <w:t xml:space="preserve">Ergebnis: </w:t>
      </w:r>
      <w:r>
        <w:t>Eine Interquartil-Erhöhung von Stickstoffdioxid (NO2; 13,5 ppb) war mit 29 % höherem Vorhofflimmer-Risiko verbunden (Hazard Ratio 1,00–1,67). Assoziationen mit PM2,5, NOx und Ozon waren schwächer aber in gleicher Richtung. Mediane NO2-Exposition lag unter der EPA-Grenze von 53 ppb.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USA; Luftqualitätsbelastung und Schwellwerte unterscheiden sich; Mechanismus-Befund (Umweltbelastung) aber generalisierbar für Prävention.</w:t>
      </w:r>
    </w:p>
    <w:p>
      <w:r>
        <w:rPr>
          <w:color w:val="5A7D3A"/>
          <w:sz w:val="18"/>
        </w:rPr>
        <w:t>https://pubmed.ncbi.nlm.nih.gov/42887622/</w:t>
      </w:r>
    </w:p>
    <w:p>
      <w:pPr>
        <w:pStyle w:val="Heading2"/>
      </w:pPr>
      <w:r>
        <w:t>Machine Learning verbessert Vorhofflimmer-Rezidiv-Vorhersage durch Ablationsqualität</w:t>
      </w:r>
    </w:p>
    <w:p>
      <w:r>
        <w:rPr>
          <w:i/>
          <w:color w:val="666666"/>
          <w:sz w:val="18"/>
        </w:rPr>
        <w:t>Wang K et al.  ·  JACC Clin Electrophysiol  ·  03.10.2026  ·  PMID 42886095</w:t>
      </w:r>
    </w:p>
    <w:p>
      <w:r>
        <w:t>Multizentrische retrospektive Kohortenstudie an 1.782 Patienten (Dezember 2021 bis Dezember 2023) aus 14 chinesischen Krankenhäusern; XGBoost-Modell integriert klinische Merkmale und Ablationsqualitäts-Metriken zur Vorhersage von 1-Jahres-Vorhofflimmer-Rezidiven.</w:t>
      </w:r>
    </w:p>
    <w:p>
      <w:r>
        <w:rPr>
          <w:b/>
        </w:rPr>
        <w:t xml:space="preserve">Ergebnis: </w:t>
      </w:r>
      <w:r>
        <w:t>16,5 % der Patienten (294/1.782) entwickelten Vorhofflimmer-Rezidive innerhalb 1 Jahr. Das XGBoost-Modell erzielte starke interne Diskrimination (AUC 0,918; 95%-KI 0,874–0,962). Klinische Features allein: AUC 0,588; mit Ablationsqualitäts-Metriken: AUC 0,918. Externe Validierung an 2 unabhängigen Zentren (n=239): AUCs 0,992 und 0,951.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multizentrisch; Ablationsqualität ist ein modifizierbarer intraprozedurale Faktor, relevant für europäische Elektro-Physiologen-Standards.</w:t>
      </w:r>
    </w:p>
    <w:p>
      <w:r>
        <w:rPr>
          <w:color w:val="5A7D3A"/>
          <w:sz w:val="18"/>
        </w:rPr>
        <w:t>https://pubmed.ncbi.nlm.nih.gov/42886095/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Kardiologie</dc:title>
  <dc:subject/>
  <dc:creator>Monitor Versorgungsforschung</dc:creator>
  <cp:keywords/>
  <dc:description>generated by python-docx</dc:description>
  <cp:lastModifiedBy/>
  <cp:revision>1</cp:revision>
  <dcterms:created xsi:type="dcterms:W3CDTF">2026-10-22T06:00:00Z</dcterms:created>
  <dcterms:modified xsi:type="dcterms:W3CDTF">2026-10-22T06:00:00Z</dcterms:modified>
  <cp:category/>
</cp:coreProperties>
</file>