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737360" cy="4596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f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459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51A1"/>
          <w:sz w:val="19"/>
        </w:rPr>
        <w:t>Ein Service des Knowledge-Hubs von Monitor Versorgungsforschung. Täglich automatisiert KI-kuratiert aus PubMed und auf Deutsch übersetzt.</w:t>
      </w:r>
    </w:p>
    <w:p>
      <w:pPr>
        <w:pStyle w:val="Title"/>
      </w:pPr>
      <w:r>
        <w:t>Neueste Studien - Kardiologie</w:t>
      </w:r>
    </w:p>
    <w:p>
      <w:r>
        <w:rPr>
          <w:i/>
          <w:color w:val="666666"/>
          <w:sz w:val="18"/>
        </w:rPr>
        <w:t>Stand: 16.10.2026  |  7 Studien  |  kardio.m-vf.de</w:t>
      </w:r>
    </w:p>
    <w:p>
      <w:pPr>
        <w:pStyle w:val="Heading1"/>
      </w:pPr>
      <w:r>
        <w:t>Aufgenommen am 16.10.2026</w:t>
      </w:r>
    </w:p>
    <w:p>
      <w:pPr>
        <w:pStyle w:val="Heading2"/>
      </w:pPr>
      <w:r>
        <w:t>Koronare Mikrogefäßerkrankung bei MINOCA mit erhöhtem Mortalitätsrisiko</w:t>
      </w:r>
    </w:p>
    <w:p>
      <w:r>
        <w:rPr>
          <w:i/>
          <w:color w:val="666666"/>
          <w:sz w:val="18"/>
        </w:rPr>
        <w:t>Carrington JG et al.  ·  Circ Cardiovasc Interv  ·  15.10.2026  ·  PMID 42877957</w:t>
      </w:r>
    </w:p>
    <w:p>
      <w:r>
        <w:t>Prospektive Kohorte (622 Patienten, 2012–2022) mit invasiver Koronarfunktionsprüfung zur Häufigkeit und Prognose der koronaren Mikrogefäßerkrankung (CMD) bei MINOCA und ANOCA.</w:t>
      </w:r>
    </w:p>
    <w:p>
      <w:r>
        <w:rPr>
          <w:b/>
        </w:rPr>
        <w:t xml:space="preserve">Ergebnis: </w:t>
      </w:r>
      <w:r>
        <w:t>CMD-Prävalenz: 71% bei MINOCA vs. 64% bei ANOCA (p=0,271); endothelium-unabhängige CMD häufiger bei MINOCA (41% vs. 21%, p&lt;0,001). MACE über Median 4,5 Jahre: 40% bei MINOCA vs. 11% bei ANOCA (adjustiertes HR 2,4, p=0,001). CMD prädikte höhere MACE in MINOCA (HR 3,6, 95%-KI 1,1–12,0) und ANOCA (HR 7,9, 95%-KI 2,9–21,8).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USA-Klinikdaten; Sicherheitsbefund und Prognosestratifizierung übertragbar</w:t>
      </w:r>
    </w:p>
    <w:p>
      <w:r>
        <w:rPr>
          <w:color w:val="5A7D3A"/>
          <w:sz w:val="18"/>
        </w:rPr>
        <w:t>https://pubmed.ncbi.nlm.nih.gov/42877957/</w:t>
      </w:r>
    </w:p>
    <w:p>
      <w:pPr>
        <w:pStyle w:val="Heading2"/>
      </w:pPr>
      <w:r>
        <w:t>Frauen unterrepräsentiert in Herzinsuffizienz-Studien, möglicherweise besseres Ansprechen</w:t>
      </w:r>
    </w:p>
    <w:p>
      <w:r>
        <w:rPr>
          <w:i/>
          <w:color w:val="666666"/>
          <w:sz w:val="18"/>
        </w:rPr>
        <w:t>Fazzini L et al.  ·  Eur J Heart Fail  ·  15.10.2026  ·  PMID 42876202</w:t>
      </w:r>
    </w:p>
    <w:p>
      <w:r>
        <w:t>Systematische Übersichtsarbeit und Metaanalyse von 56 RCTs zur Geschlechterdifferenz bei Herzinsuffizienz-Therapien hinsichtlich Patientenrekrutierung und Therapieeffekte.</w:t>
      </w:r>
    </w:p>
    <w:p>
      <w:r>
        <w:rPr>
          <w:b/>
        </w:rPr>
        <w:t xml:space="preserve">Ergebnis: </w:t>
      </w:r>
      <w:r>
        <w:t>Frauenanteil nur 27,0% (95%-KI: 22,0–32,4%) in Medikamentenstudien und 25,3% (95%-KI: 21,0–29,9%) in Device-Studien. In HFpEF-Studien höher (49,6%) als in HFrEF (21,0%). Pooled Sex-Interaktion für Hazard Ratio 0,94 (95%-KI: 0,89–1,01), für Risk Ratio 0,81 (95%-KI: 0,68–0,96) – deutet auf potenziell besseres Benefit für Frauen hin.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Internationale RCT-Daten, Leitlinien-relevante Frage der Geschlechtergerechtigkeit</w:t>
      </w:r>
    </w:p>
    <w:p>
      <w:r>
        <w:rPr>
          <w:color w:val="5A7D3A"/>
          <w:sz w:val="18"/>
        </w:rPr>
        <w:t>https://pubmed.ncbi.nlm.nih.gov/42876202/</w:t>
      </w:r>
    </w:p>
    <w:p>
      <w:pPr>
        <w:pStyle w:val="Heading2"/>
      </w:pPr>
      <w:r>
        <w:t>Elastische Unterschenkelbinde verbessert Diuretika-Effizienz bei dekompensierter Herzinsuffizienz</w:t>
      </w:r>
    </w:p>
    <w:p>
      <w:r>
        <w:rPr>
          <w:i/>
          <w:color w:val="666666"/>
          <w:sz w:val="18"/>
        </w:rPr>
        <w:t>Suppadungsuk S et al.  ·  Eur J Heart Fail  ·  14.10.2026  ·  PMID 42874074</w:t>
      </w:r>
    </w:p>
    <w:p>
      <w:r>
        <w:t>Retrospektive Kohortenstudie (n=176 Patienten, Mayo Clinic 2007–2017) zur Auswirkung von Unterschenkel-Kompressionsbinden auf Diuretika-Effizienz bei akut dekompensierter Herzinsuffizienz (ADHF) mit Diuretika-Resistenz.</w:t>
      </w:r>
    </w:p>
    <w:p>
      <w:r>
        <w:rPr>
          <w:b/>
        </w:rPr>
        <w:t xml:space="preserve">Ergebnis: </w:t>
      </w:r>
      <w:r>
        <w:t>Nach Anlegen der Binde: durchschnittliche tägliche Schleifendiuretika-Dosis um 1,19 mg pro 40-mg-Furosemid-Äquivalent gesenkt (95%-KI 0,22–2,2, p=0,016). Diuretika-Effizienz post-Binde 1.355 mL (IQR 1.119–1.590) pro 40 mg Furosemid vs. pre-Binde, Differenz 340 mL (95%-KI –554 bis –125, p=0,002). Urinausscheidung unverändert (2.642 vs. 2.792 mL/Tag, p=0,33). Krankenhaus-Mortalität 9,7%, mediane Liegedauer 11,4 Tage.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US-Klinikdaten; Einfaches, potenziell kostengünstiges Verfahren, Übertragung auf deutsches Setting denkbar</w:t>
      </w:r>
    </w:p>
    <w:p>
      <w:r>
        <w:rPr>
          <w:color w:val="5A7D3A"/>
          <w:sz w:val="18"/>
        </w:rPr>
        <w:t>https://pubmed.ncbi.nlm.nih.gov/42874074/</w:t>
      </w:r>
    </w:p>
    <w:p>
      <w:pPr>
        <w:pStyle w:val="Heading2"/>
      </w:pPr>
      <w:r>
        <w:t>Pulsed-Field-Ablation als Erstlinientherapie bei Vorhofflimmern wirksam</w:t>
      </w:r>
    </w:p>
    <w:p>
      <w:r>
        <w:rPr>
          <w:i/>
          <w:color w:val="666666"/>
          <w:sz w:val="18"/>
        </w:rPr>
        <w:t>García-Bolao I et al.  ·  Europace  ·  14.10.2026  ·  PMID 42872380</w:t>
      </w:r>
    </w:p>
    <w:p>
      <w:r>
        <w:t>Europäische Multizenterstudie (FARADISE-Subanalyse) zur Wirksamkeit und Sicherheit der Pulsed-Field-Ablation als erste Ablationstherapie bei Vorhofflimmern.</w:t>
      </w:r>
    </w:p>
    <w:p>
      <w:r>
        <w:rPr>
          <w:b/>
        </w:rPr>
        <w:t xml:space="preserve">Ergebnis: </w:t>
      </w:r>
      <w:r>
        <w:t>Unter den analysierten Patienten zeigte Pulsed-Field-Ablation als First-Line-Therapie bei Vorhofflimmern gute Erfolgsraten; genaue quantitative Endpunkte (Rezidivfreiheit, Sicherheit) werden im Abstract nicht beziffert. Diese Technik stellt eine Alternative zu thermischen Ablationsverfahren dar.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Europäische Zentren, vergleichbare interventionelle Standards</w:t>
      </w:r>
    </w:p>
    <w:p>
      <w:r>
        <w:rPr>
          <w:color w:val="5A7D3A"/>
          <w:sz w:val="18"/>
        </w:rPr>
        <w:t>https://pubmed.ncbi.nlm.nih.gov/42872380/</w:t>
      </w:r>
    </w:p>
    <w:p>
      <w:pPr>
        <w:pStyle w:val="Heading2"/>
      </w:pPr>
      <w:r>
        <w:t>Herzinsuffizienz-Präventionsdienst ermöglicht frühe Diagnose durch strukturierte Versorgung</w:t>
      </w:r>
    </w:p>
    <w:p>
      <w:r>
        <w:rPr>
          <w:i/>
          <w:color w:val="666666"/>
          <w:sz w:val="18"/>
        </w:rPr>
        <w:t>Zahid ZU et al.  ·  Eur J Heart Fail  ·  13.10.2026  ·  PMID 42868507</w:t>
      </w:r>
    </w:p>
    <w:p>
      <w:r>
        <w:t>Qualitative Versorgungsstudie (Irland) zur Wirksamkeit eines proaktiven Heart-Failure-Prevention-Service bei der Früherkennung von Herzinsuffizienz bei Patienten mit kardiovaskulären Risikofaktoren.</w:t>
      </w:r>
    </w:p>
    <w:p>
      <w:r>
        <w:rPr>
          <w:b/>
        </w:rPr>
        <w:t xml:space="preserve">Ergebnis: </w:t>
      </w:r>
      <w:r>
        <w:t>Der strukturierte Präventionsdienst ermöglichte signifikante Früherkennung von Herzinsuffizienz; genaue quantitative Endpunkte (Patientenzahl, Diagnose-Delay, Rehospitalisierung) werden im Abstract nicht beziffert. Der Dienst zeigt, dass auch Patienten, bei denen präventive Ziele nicht erreicht werden, von früher klinischer Diagnose profitieren können.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Irland, NHS-ähnliches System; Versorgungsmodell zur Disease-Management-Koordination übertragbar</w:t>
      </w:r>
    </w:p>
    <w:p>
      <w:r>
        <w:rPr>
          <w:color w:val="5A7D3A"/>
          <w:sz w:val="18"/>
        </w:rPr>
        <w:t>https://pubmed.ncbi.nlm.nih.gov/42868507/</w:t>
      </w:r>
    </w:p>
    <w:p>
      <w:pPr>
        <w:pStyle w:val="Heading2"/>
      </w:pPr>
      <w:r>
        <w:t>Physiologisches Pacing nach TAVR reduziert Herzinsuffizienz-Hospitalisierung</w:t>
      </w:r>
    </w:p>
    <w:p>
      <w:r>
        <w:rPr>
          <w:i/>
          <w:color w:val="666666"/>
          <w:sz w:val="18"/>
        </w:rPr>
        <w:t>Diez-Delhoyo F et al.  ·  JACC Cardiovasc Interv  ·  12.10.2026  ·  PMID 42863877</w:t>
      </w:r>
    </w:p>
    <w:p>
      <w:r>
        <w:t>Spanische Multizenterstudie (Propensity-Score-Matching, n=466 Paare) zum Vergleich kardialer Leitungssystem-Stimulation (CPP) versus Rechtsventrikel-Pacing (RVP) nach TAVR über 24 Monate Nachbeobachtung.</w:t>
      </w:r>
    </w:p>
    <w:p>
      <w:r>
        <w:rPr>
          <w:b/>
        </w:rPr>
        <w:t xml:space="preserve">Ergebnis: </w:t>
      </w:r>
      <w:r>
        <w:t>Primärer Endpunkt (kardiovaskulärer Tod oder HF-Hospitalisierung): CPP 9,7% vs. RVP 17,6% (HR 0,57, 95%-KI 0,39–0,83, p=0,003). HF-Hospitalisierung: 7,9% vs. 13,9% (HR 0,57, 95%-KI 0,37–0,86, p=0,008). Kardiovaskulärer Tod und Gesamtsterblichkeit ohne signifikante Unterschiede.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Spanische Krankenhausdaten, vergleichbare Interventions-Standards</w:t>
      </w:r>
    </w:p>
    <w:p>
      <w:r>
        <w:rPr>
          <w:color w:val="5A7D3A"/>
          <w:sz w:val="18"/>
        </w:rPr>
        <w:t>https://pubmed.ncbi.nlm.nih.gov/42863877/</w:t>
      </w:r>
    </w:p>
    <w:p>
      <w:pPr>
        <w:pStyle w:val="Heading2"/>
      </w:pPr>
      <w:r>
        <w:t>Okklusions-Herzinfarkt (OMI) ohne ST-Hebung mit ähnlich hoher Mortalität wie STEMI</w:t>
      </w:r>
    </w:p>
    <w:p>
      <w:r>
        <w:rPr>
          <w:i/>
          <w:color w:val="666666"/>
          <w:sz w:val="18"/>
        </w:rPr>
        <w:t>Milzi A et al.  ·  JACC Cardiovasc Interv  ·  12.10.2026  ·  PMID 42863869</w:t>
      </w:r>
    </w:p>
    <w:p>
      <w:r>
        <w:t>Internationale Multizenterstudie (MATRIX-Kohorte, n=6.558 ACS-Patienten) zur Häufigkeit und Prognose alternativer OMI-Definitionen anhand von TIMI-Fluss-Graden und Troponin-Schwellwerten.</w:t>
      </w:r>
    </w:p>
    <w:p>
      <w:r>
        <w:rPr>
          <w:b/>
        </w:rPr>
        <w:t xml:space="preserve">Ergebnis: </w:t>
      </w:r>
      <w:r>
        <w:t>OMI-Häufigkeit variierte je nach Definition: 37,8% (TIMI 0) bis 76,1% (TIMI 0–2 + Troponin &gt;30×). Ein-Jahres-Mortalität mit independenter Assoziation für Definitionen 1–4 (adjustierte HR 2,08 [95%-KI 1,56–2,78] bis 1,47 [1,01–2,12]), nicht für Definition 5 (HR 1,26, n.s.). NSTEMI-Patienten mit OMI (Def. 1–2) hatten 1-Jahres-Mortalität ähnlich wie STEMI-Patienten (nicht signifikant unterschiedlich).</w:t>
      </w:r>
    </w:p>
    <w:p>
      <w:r>
        <w:rPr>
          <w:b/>
          <w:sz w:val="19"/>
        </w:rPr>
        <w:t xml:space="preserve">Übertragbarkeit: </w:t>
      </w:r>
      <w:r>
        <w:rPr>
          <w:sz w:val="19"/>
        </w:rPr>
        <w:t>Europäische und internationale Zentren (Schweiz, Italien, Spanien); OMI-Klassifikation für deutsches ACS-Management relevant</w:t>
      </w:r>
    </w:p>
    <w:p>
      <w:r>
        <w:rPr>
          <w:color w:val="5A7D3A"/>
          <w:sz w:val="18"/>
        </w:rPr>
        <w:t>https://pubmed.ncbi.nlm.nih.gov/42863869/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Neueste Studien - Kardiologie</dc:title>
  <dc:subject/>
  <dc:creator>Monitor Versorgungsforschung</dc:creator>
  <cp:keywords/>
  <dc:description>generated by python-docx</dc:description>
  <cp:lastModifiedBy/>
  <cp:revision>1</cp:revision>
  <dcterms:created xsi:type="dcterms:W3CDTF">2026-10-16T06:00:00Z</dcterms:created>
  <dcterms:modified xsi:type="dcterms:W3CDTF">2026-10-16T06:00:00Z</dcterms:modified>
  <cp:category/>
</cp:coreProperties>
</file>