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Kardiologie</w:t>
      </w:r>
    </w:p>
    <w:p>
      <w:r>
        <w:rPr>
          <w:i/>
          <w:color w:val="666666"/>
          <w:sz w:val="18"/>
        </w:rPr>
        <w:t>Stand: 26.09.2026  |  95 Studien  |  kardio.m-vf.de</w:t>
      </w:r>
    </w:p>
    <w:p>
      <w:pPr>
        <w:pStyle w:val="Heading1"/>
      </w:pPr>
      <w:r>
        <w:t>Aufgenommen am 26.09.2026</w:t>
      </w:r>
    </w:p>
    <w:p>
      <w:pPr>
        <w:pStyle w:val="Heading2"/>
      </w:pPr>
      <w:r>
        <w:t>Geografische Variation der HCM-Diagnostik in Dänemark: Prävalenz 71/100.000, regional bis 80,3</w:t>
      </w:r>
    </w:p>
    <w:p>
      <w:r>
        <w:rPr>
          <w:i/>
          <w:color w:val="666666"/>
          <w:sz w:val="18"/>
        </w:rPr>
        <w:t>Bhardwaj P et al.  ·  Open Heart  ·  25.09.2026  ·  PMID 42791014</w:t>
      </w:r>
    </w:p>
    <w:p>
      <w:r>
        <w:t>Bevölkerungsbasierte Registerstudie der diagnostizierten hypertrophen (HCM) und arrhythmogenen rechtsventrikulären Kardiomyopathie (ARVC) in Dänemark.</w:t>
      </w:r>
    </w:p>
    <w:p>
      <w:r>
        <w:rPr>
          <w:b/>
        </w:rPr>
        <w:t xml:space="preserve">Ergebnis: </w:t>
      </w:r>
      <w:r>
        <w:t>HCM-Prävalenz 71 pro 100.000 (regional 61,4–80,3); ARVC 8,1 pro 100.000 ohne regionale Variation. HCM zeigt signifikante geografische und Urban-Rural-Unterschiede, ARVC gleichmäßig verteilt – deutet auf Einfluss von Gesundheitsorganisation und Überweisungsmuster hin.</w:t>
      </w:r>
    </w:p>
    <w:p>
      <w:r>
        <w:rPr>
          <w:b/>
          <w:sz w:val="19"/>
        </w:rPr>
        <w:t xml:space="preserve">Übertragbarkeit: </w:t>
      </w:r>
      <w:r>
        <w:rPr>
          <w:sz w:val="19"/>
        </w:rPr>
        <w:t>Dänemark (universelles Gesundheitssystem), für deutsche Mindestmengen-Diskussion in der Kardiomyopathie-Diagnostik relevant.</w:t>
      </w:r>
    </w:p>
    <w:p>
      <w:r>
        <w:rPr>
          <w:color w:val="5A7D3A"/>
          <w:sz w:val="18"/>
        </w:rPr>
        <w:t>https://pubmed.ncbi.nlm.nih.gov/42791014/</w:t>
      </w:r>
    </w:p>
    <w:p>
      <w:pPr>
        <w:pStyle w:val="Heading2"/>
      </w:pPr>
      <w:r>
        <w:t>HFpEF-Phänotypen entwickeln sich unterschiedlich: progressiv früh oder stabil fortgeschritten; KI-Vorhersage C-Index 0,66</w:t>
      </w:r>
    </w:p>
    <w:p>
      <w:r>
        <w:rPr>
          <w:i/>
          <w:color w:val="666666"/>
          <w:sz w:val="18"/>
        </w:rPr>
        <w:t>Brown S et al.  ·  Open Heart  ·  25.09.2026  ·  PMID 42791013</w:t>
      </w:r>
    </w:p>
    <w:p>
      <w:r>
        <w:t>NLP-basierte Phänotypisierung von 2.223 HFpEF-Patienten aus Echtdaten-EHR (2010–2022) mittels Latent-Class-Analysis und Random-Forest-Klassifikation über 5 Jahre zur Identifikation von stabilen versus progressiven Krankheitszuständen.</w:t>
      </w:r>
    </w:p>
    <w:p>
      <w:r>
        <w:rPr>
          <w:b/>
        </w:rPr>
        <w:t xml:space="preserve">Ergebnis: </w:t>
      </w:r>
      <w:r>
        <w:t>Vier HFpEF-Phänotypen: jung-geringe Komorbiditäten (22 %, Übergangswahrscheinlichkeit 47,7 %), Adipositas-dominant (24 %), ältere-atriale Dysfunktion (32 %, 12,1 %), kardiovaskulär-nieren-metabolisch (23 %, 3,2 %, Mortalität HR 1,53). Aktuelle Phänotyp-Klassifikation diskriminiert Mortalität besser als Baseline (C-Index 0,659 vs 0,648).</w:t>
      </w:r>
    </w:p>
    <w:p>
      <w:r>
        <w:rPr>
          <w:b/>
          <w:sz w:val="19"/>
        </w:rPr>
        <w:t xml:space="preserve">Übertragbarkeit: </w:t>
      </w:r>
      <w:r>
        <w:rPr>
          <w:sz w:val="19"/>
        </w:rPr>
        <w:t>UK (King's College London multisite EHR), NLP-gestützte Phänotypisierung könnte EHR-Daten deutscher Kliniken zur HFpEF-Stratifikation nutzen.</w:t>
      </w:r>
    </w:p>
    <w:p>
      <w:r>
        <w:rPr>
          <w:color w:val="5A7D3A"/>
          <w:sz w:val="18"/>
        </w:rPr>
        <w:t>https://pubmed.ncbi.nlm.nih.gov/42791013/</w:t>
      </w:r>
    </w:p>
    <w:p>
      <w:pPr>
        <w:pStyle w:val="Heading2"/>
      </w:pPr>
      <w:r>
        <w:t>Mehrorgan-Aging-Marker im Blut beschleunigen vor Herzinsuffizienz-Komplikationen und prognostizieren unabhängig vom BNP</w:t>
      </w:r>
    </w:p>
    <w:p>
      <w:r>
        <w:rPr>
          <w:i/>
          <w:color w:val="666666"/>
          <w:sz w:val="18"/>
        </w:rPr>
        <w:t>Qu K et al.  ·  Eur J Heart Fail  ·  25.09.2026  ·  PMID 42789496</w:t>
      </w:r>
    </w:p>
    <w:p>
      <w:r>
        <w:t>Longitudinale Proteomik-Studie zweier Kohorten (557 Personen HELPFul HFpEF-Risk bis Diagnose, 382 etablierte HF mit LVEF&lt;50%) zur Organalterung aus Plasma-Proteinen (Organ Age Gaps, OAG).</w:t>
      </w:r>
    </w:p>
    <w:p>
      <w:r>
        <w:rPr>
          <w:b/>
        </w:rPr>
        <w:t xml:space="preserve">Ergebnis: </w:t>
      </w:r>
      <w:r>
        <w:t>Patienten mit ungünstigen Ereignissen zeigen beschleunigte Multi-Organ-Aging über 2,1 Jahre (Immunsystem β=0,36 z-score/Jahr, Herz β=0,29). Nieren-, Lungen- und Immunalterung bleiben nach Adjustierung auf NT-proBNP und Troponin T prognostisch (p&lt;0,05). Baseline-OAGs unterscheiden sich nach HF-Schweregrad.</w:t>
      </w:r>
    </w:p>
    <w:p>
      <w:r>
        <w:rPr>
          <w:b/>
          <w:sz w:val="19"/>
        </w:rPr>
        <w:t xml:space="preserve">Übertragbarkeit: </w:t>
      </w:r>
      <w:r>
        <w:rPr>
          <w:sz w:val="19"/>
        </w:rPr>
        <w:t>Niederlande/UK (HELPFul und Bio-SHiFT), explorative Studie; Proteom-Marker könnten HF-Risiko-Stratifikation verfeinern, brauchen Validierung.</w:t>
      </w:r>
    </w:p>
    <w:p>
      <w:r>
        <w:rPr>
          <w:color w:val="5A7D3A"/>
          <w:sz w:val="18"/>
        </w:rPr>
        <w:t>https://pubmed.ncbi.nlm.nih.gov/42789496/</w:t>
      </w:r>
    </w:p>
    <w:p>
      <w:pPr>
        <w:pStyle w:val="Heading2"/>
      </w:pPr>
      <w:r>
        <w:t>Operative linksatriale Appendage-Okklusion bei Sinusrhythmus reduziert Schlaganfall um 25 Prozent, erhöht Vorhofflimmern-Inzidenz</w:t>
      </w:r>
    </w:p>
    <w:p>
      <w:r>
        <w:rPr>
          <w:i/>
          <w:color w:val="666666"/>
          <w:sz w:val="18"/>
        </w:rPr>
        <w:t>Song Q et al.  ·  J Am Heart Assoc  ·  24.09.2026  ·  PMID 42786657</w:t>
      </w:r>
    </w:p>
    <w:p>
      <w:r>
        <w:t>Metaanalyse von 11 Studien (12.145 Teilnehmer) zur elektiven chirurgischen LAAO versus keine LAAO bei Patienten ohne präoperatives Vorhofflimmern.</w:t>
      </w:r>
    </w:p>
    <w:p>
      <w:r>
        <w:rPr>
          <w:b/>
        </w:rPr>
        <w:t xml:space="preserve">Ergebnis: </w:t>
      </w:r>
      <w:r>
        <w:t>Chirurgische LAAO reduzierte neu aufgetretenes TIA/Schlaganfall (OR 0,75; 95%-KI 0,62–0,90) und Blutungen (OR 0,78; 95%-KI 0,60–1,00), erhöhte aber postoperatives Vorhofflimmern (OR 1,27; 95%-KI 1,06–1,53). Kein Unterschied in Gesamtsterblichkeit oder Liegedauer.</w:t>
      </w:r>
    </w:p>
    <w:p>
      <w:r>
        <w:rPr>
          <w:b/>
          <w:sz w:val="19"/>
        </w:rPr>
        <w:t xml:space="preserve">Übertragbarkeit: </w:t>
      </w:r>
      <w:r>
        <w:rPr>
          <w:sz w:val="19"/>
        </w:rPr>
        <w:t>11 überwiegend nicht-deutsche Zentren; Evidenz-Niveau moderat; Entscheidung zu elektiven LAAO-Implantationen ist evidenzbasiert.</w:t>
      </w:r>
    </w:p>
    <w:p>
      <w:r>
        <w:rPr>
          <w:color w:val="5A7D3A"/>
          <w:sz w:val="18"/>
        </w:rPr>
        <w:t>https://pubmed.ncbi.nlm.nih.gov/42786657/</w:t>
      </w:r>
    </w:p>
    <w:p>
      <w:pPr>
        <w:pStyle w:val="Heading2"/>
      </w:pPr>
      <w:r>
        <w:t>Frühe kardiologische Rehabilitation nach Herzinsuffizienz-Klinikaufenthalt senkt Sterblichkeit um 51 bis 61 Prozent</w:t>
      </w:r>
    </w:p>
    <w:p>
      <w:r>
        <w:rPr>
          <w:i/>
          <w:color w:val="666666"/>
          <w:sz w:val="18"/>
        </w:rPr>
        <w:t>Katano S et al.  ·  J Am Heart Assoc  ·  24.09.2026  ·  PMID 42786652</w:t>
      </w:r>
    </w:p>
    <w:p>
      <w:r>
        <w:t>Japanische Registerstudie (564.830 Patienten mit akuter Herzinsuffizienz 2012–2023) zum zeitlichen Zusammenhang zwischen Aufnahme und Beginn kardiologischer Rehabilitation und Krankenhausergebnis.</w:t>
      </w:r>
    </w:p>
    <w:p>
      <w:r>
        <w:rPr>
          <w:b/>
        </w:rPr>
        <w:t xml:space="preserve">Ergebnis: </w:t>
      </w:r>
      <w:r>
        <w:t>Alle Rehabilitations-Zeitquartile (≤1 Tag bis ≥6 Tage) zeigten niedrigere Krankenhaussterblichkeit gegen Nicht-Rehab-Gruppe: adjustierte Odds Ratios 0,39–0,49 (p&lt;0,001). Funktionelle Besserung (Barthel-Index) optimal bei 2–3 Tagen, Mortalitätsabsenkung über breiteres Zeitfenster bis 6 Tage. Spline-Analysen zeigen nichtlineare Assoziationen.</w:t>
      </w:r>
    </w:p>
    <w:p>
      <w:r>
        <w:rPr>
          <w:b/>
          <w:sz w:val="19"/>
        </w:rPr>
        <w:t xml:space="preserve">Übertragbarkeit: </w:t>
      </w:r>
      <w:r>
        <w:rPr>
          <w:sz w:val="19"/>
        </w:rPr>
        <w:t>Japan (Universitätskliniken, strukturierte Rehabilitation), organisatorisches Modell für deutsche Herzinsuffizienz-Rehabilitation anwendbar.</w:t>
      </w:r>
    </w:p>
    <w:p>
      <w:r>
        <w:rPr>
          <w:color w:val="5A7D3A"/>
          <w:sz w:val="18"/>
        </w:rPr>
        <w:t>https://pubmed.ncbi.nlm.nih.gov/42786652/</w:t>
      </w:r>
    </w:p>
    <w:p>
      <w:pPr>
        <w:pStyle w:val="Heading2"/>
      </w:pPr>
      <w:r>
        <w:t>Präemptive Sternumganglien-Blockade senkt postoperatives Vorhofflimmern nach Bypass um 56 Prozent</w:t>
      </w:r>
    </w:p>
    <w:p>
      <w:r>
        <w:rPr>
          <w:i/>
          <w:color w:val="666666"/>
          <w:sz w:val="18"/>
        </w:rPr>
        <w:t>Tian S et al.  ·  JACC Clin Electrophysiol  ·  21.09.2026  ·  PMID 42782230</w:t>
      </w:r>
    </w:p>
    <w:p>
      <w:r>
        <w:t>Randomisierte kontrollierte Studie (n=108 modifizierte Intention-to-Treat) zur präoperativen linken Stellatumganglien-Blockade zur Reduktion postoperativen Vorhofflimmerns nach Koronarbypass mit Herz-Lungen-Maschine.</w:t>
      </w:r>
    </w:p>
    <w:p>
      <w:r>
        <w:rPr>
          <w:b/>
        </w:rPr>
        <w:t xml:space="preserve">Ergebnis: </w:t>
      </w:r>
      <w:r>
        <w:t>POAF-Inzidenz 5 Tage postoperativ: SGB 18,5 % vs Kontrolle 44,4 % (OR 0,288; 95%-KI 0,106–0,731; p=0,007). SGB zeigte auch niedrigere POAF-Last, kürzere Episoden-Dauer, niedrigere Entzündungsmarker (CRP, IL-6, hs-Troponin T) und kürzerer Krankenhausaufenthalt.</w:t>
      </w:r>
    </w:p>
    <w:p>
      <w:r>
        <w:rPr>
          <w:b/>
          <w:sz w:val="19"/>
        </w:rPr>
        <w:t xml:space="preserve">Übertragbarkeit: </w:t>
      </w:r>
      <w:r>
        <w:rPr>
          <w:sz w:val="19"/>
        </w:rPr>
        <w:t>China (ein Zentrum); physiologisches Konzept ist übertragbar; Methode könnte für SZ-Bypass-Patienten evaluiert werden.</w:t>
      </w:r>
    </w:p>
    <w:p>
      <w:r>
        <w:rPr>
          <w:color w:val="5A7D3A"/>
          <w:sz w:val="18"/>
        </w:rPr>
        <w:t>https://pubmed.ncbi.nlm.nih.gov/42782230/</w:t>
      </w:r>
    </w:p>
    <w:p>
      <w:pPr>
        <w:pStyle w:val="Heading1"/>
      </w:pPr>
      <w:r>
        <w:t>Aufgenommen am 25.09.2026</w:t>
      </w:r>
    </w:p>
    <w:p>
      <w:pPr>
        <w:pStyle w:val="Heading2"/>
      </w:pPr>
      <w:r>
        <w:t>Kardiales Risiko in der Schwangerschaft - Scores überschätzen Komplikationen</w:t>
      </w:r>
    </w:p>
    <w:p>
      <w:r>
        <w:rPr>
          <w:i/>
          <w:color w:val="666666"/>
          <w:sz w:val="18"/>
        </w:rPr>
        <w:t>Houri O et al.  ·  Open Heart  ·  24.09.2026  ·  PMID 42785923</w:t>
      </w:r>
    </w:p>
    <w:p>
      <w:r>
        <w:t>Externe Validierung dreier etablierter Risikoscores (mWHO, CARPREG II, ZAHARA) an einer israelischen Hochrisiko-Kohorte von 407 Schwangerschaften bei 282 Frauen mit Herzerkrankung (2009–2023).</w:t>
      </w:r>
    </w:p>
    <w:p>
      <w:r>
        <w:rPr>
          <w:b/>
        </w:rPr>
        <w:t xml:space="preserve">Ergebnis: </w:t>
      </w:r>
      <w:r>
        <w:t>Beobachtete kardiale Komplikationen: 4,18 % (17 Ereignisse), kein mütterlicher Tod. Vorhergesagte Raten: CARPREG II 12,78 %, mWHO 8,3 %, ZAHARA 6,7 %. Observed-to-Expected-Quoten 0,33, 0,50 und 0,62. Diskriminationsfähigkeit moderat (AUC 0,69–0,74). Keine der Scores sagte geburtshilfliche Komplikationen voraus.</w:t>
      </w:r>
    </w:p>
    <w:p>
      <w:r>
        <w:rPr>
          <w:b/>
          <w:sz w:val="19"/>
        </w:rPr>
        <w:t xml:space="preserve">Übertragbarkeit: </w:t>
      </w:r>
      <w:r>
        <w:rPr>
          <w:sz w:val="19"/>
        </w:rPr>
        <w:t>Spezialisierte Zentren, externe Validierung in anderer Population - Ergebnis zeigt Kalibrierdrift, erfordert Individualisierung</w:t>
      </w:r>
    </w:p>
    <w:p>
      <w:r>
        <w:rPr>
          <w:color w:val="5A7D3A"/>
          <w:sz w:val="18"/>
        </w:rPr>
        <w:t>https://pubmed.ncbi.nlm.nih.gov/42785923/</w:t>
      </w:r>
    </w:p>
    <w:p>
      <w:pPr>
        <w:pStyle w:val="Heading2"/>
      </w:pPr>
      <w:r>
        <w:t>Katheterablation bei Vorhofflimmern unter 30 Jahren - hohe Erfolgsraten ohne Komplikationen</w:t>
      </w:r>
    </w:p>
    <w:p>
      <w:r>
        <w:rPr>
          <w:i/>
          <w:color w:val="666666"/>
          <w:sz w:val="18"/>
        </w:rPr>
        <w:t>Doldi F et al.  ·  Heart Rhythm  ·  24.09.2026  ·  PMID 42785609</w:t>
      </w:r>
    </w:p>
    <w:p>
      <w:r>
        <w:t>Multizentrische deutsche Registerstudie zu Ablationsergebnissen bei jungen Patienten (≤30 Jahre) mit Vorhofflimmern und erstmaliger Pulmonalvenenisolation (2005–2025).</w:t>
      </w:r>
    </w:p>
    <w:p>
      <w:r>
        <w:rPr>
          <w:b/>
        </w:rPr>
        <w:t xml:space="preserve">Ergebnis: </w:t>
      </w:r>
      <w:r>
        <w:t>Von 104 Patienten mit mittlerem Alter 29,1 Jahren (83,6 % paroxysmales VHF) betrug die Freiheit von VHF bei 1, 2 und 3 Jahren 93,6 %, 88,2 % und 82,1 %; 94,9 % nach bis zu zwei Prozeduren. Komplikationen: 2,1 % (3 Patienten). Paroxysmal vs. persistentes VHF: 98,5 % vs. 67,7 % bei 1 Jahr (p&lt;0,001).</w:t>
      </w:r>
    </w:p>
    <w:p>
      <w:r>
        <w:rPr>
          <w:b/>
          <w:sz w:val="19"/>
        </w:rPr>
        <w:t xml:space="preserve">Übertragbarkeit: </w:t>
      </w:r>
      <w:r>
        <w:rPr>
          <w:sz w:val="19"/>
        </w:rPr>
        <w:t>Deutsche Hochvolumenzentren, direkt auf nationale Strukturen übertragbar</w:t>
      </w:r>
    </w:p>
    <w:p>
      <w:r>
        <w:rPr>
          <w:color w:val="5A7D3A"/>
          <w:sz w:val="18"/>
        </w:rPr>
        <w:t>https://pubmed.ncbi.nlm.nih.gov/42785609/</w:t>
      </w:r>
    </w:p>
    <w:p>
      <w:pPr>
        <w:pStyle w:val="Heading2"/>
      </w:pPr>
      <w:r>
        <w:t>Akutes Nierenversagen im kardiogenen Schock - Phänotypen und Therapeutische Ziele</w:t>
      </w:r>
    </w:p>
    <w:p>
      <w:r>
        <w:rPr>
          <w:i/>
          <w:color w:val="666666"/>
          <w:sz w:val="18"/>
        </w:rPr>
        <w:t>Hanff TC et al.  ·  Circ Heart Fail  ·  15.09.2026  ·  PMID 42743342</w:t>
      </w:r>
    </w:p>
    <w:p>
      <w:r>
        <w:t>Narratives Review zur Epidemiologie, Pathophysiologie und Klassifikation akuter Nierenschädigung (AKI) im kardiogenen Schock mit Fokus auf heterogene Phänotypen und therapeutische Ansätze.</w:t>
      </w:r>
    </w:p>
    <w:p>
      <w:r>
        <w:rPr>
          <w:b/>
        </w:rPr>
        <w:t xml:space="preserve">Ergebnis: </w:t>
      </w:r>
      <w:r>
        <w:t>AKI tritt häufig auf und verschlechtert sowohl Kurz- als auch Langzeitprognose erheblich. Mehrere biologisch unterscheidbare Phänotypen wurden identifiziert (früh vs. spät, akut vs. akut auf chronisch). Neue biomarkerbasierte und gerätegestützte Strategien zeigen Potential, Nierenperfusion zu verbessern und Stauung zu reduzieren.</w:t>
      </w:r>
    </w:p>
    <w:p>
      <w:r>
        <w:rPr>
          <w:b/>
          <w:sz w:val="19"/>
        </w:rPr>
        <w:t xml:space="preserve">Übertragbarkeit: </w:t>
      </w:r>
      <w:r>
        <w:rPr>
          <w:sz w:val="19"/>
        </w:rPr>
        <w:t>Konzeptionell-mechanistisches Überblickswerk, Empfehlungen zur individualisiertem Diagnostik und Therapie</w:t>
      </w:r>
    </w:p>
    <w:p>
      <w:r>
        <w:rPr>
          <w:color w:val="5A7D3A"/>
          <w:sz w:val="18"/>
        </w:rPr>
        <w:t>https://pubmed.ncbi.nlm.nih.gov/42743342/</w:t>
      </w:r>
    </w:p>
    <w:p>
      <w:pPr>
        <w:pStyle w:val="Heading2"/>
      </w:pPr>
      <w:r>
        <w:t>Zytomegalievirus-Latenz verstärkt Entzündung nach Herzinfarkt - experimentelle und klinische Evidenz</w:t>
      </w:r>
    </w:p>
    <w:p>
      <w:r>
        <w:rPr>
          <w:i/>
          <w:color w:val="666666"/>
          <w:sz w:val="18"/>
        </w:rPr>
        <w:t>Dapergola E et al.  ·  Circ Res  ·  14.09.2026  ·  PMID 42734064</w:t>
      </w:r>
    </w:p>
    <w:p>
      <w:r>
        <w:t>Kombination aus experimentellem Mausmodell und klinischer Kohortenanalyse zur Frage, ob latente CMV-Infektion die kardiale Heilung nach Myokardinfarkt durch persistente Entzündung beeinträchtigt.</w:t>
      </w:r>
    </w:p>
    <w:p>
      <w:r>
        <w:rPr>
          <w:b/>
        </w:rPr>
        <w:t xml:space="preserve">Ergebnis: </w:t>
      </w:r>
      <w:r>
        <w:t>Mäuse mit CMV-Exposition zeigten post-MI stärkere Entzündungsantworten mit erhöhter CD8+-T-Zellinfiltraten und verschlechterter Herzfunktion. In Patienten mit CMV-seropositiven MI fanden sich CMV-responsive T-Zellen im Myokard. Latente CMV-Infektion führt zu langfristigen Veränderungen der kardialen Mikroumgebung und beeinträchtigt die Heilung nach MI.</w:t>
      </w:r>
    </w:p>
    <w:p>
      <w:r>
        <w:rPr>
          <w:b/>
          <w:sz w:val="19"/>
        </w:rPr>
        <w:t xml:space="preserve">Übertragbarkeit: </w:t>
      </w:r>
      <w:r>
        <w:rPr>
          <w:sz w:val="19"/>
        </w:rPr>
        <w:t>Grundlagenarbeit mit erkennbarem Weg zur Klinik (Biomarker, Immuntherapie)</w:t>
      </w:r>
    </w:p>
    <w:p>
      <w:r>
        <w:rPr>
          <w:color w:val="5A7D3A"/>
          <w:sz w:val="18"/>
        </w:rPr>
        <w:t>https://pubmed.ncbi.nlm.nih.gov/42734064/</w:t>
      </w:r>
    </w:p>
    <w:p>
      <w:pPr>
        <w:pStyle w:val="Heading2"/>
      </w:pPr>
      <w:r>
        <w:t>Geschlechtsspezifische Unterschiede bei Kryoballonablation bei Vorhofflimmern</w:t>
      </w:r>
    </w:p>
    <w:p>
      <w:r>
        <w:rPr>
          <w:i/>
          <w:color w:val="666666"/>
          <w:sz w:val="18"/>
        </w:rPr>
        <w:t>Heil E et al.  ·  Europace  ·  02.09.2026  ·  PMID 42696497</w:t>
      </w:r>
    </w:p>
    <w:p>
      <w:r>
        <w:t>Deutsche Registerstudie aus dem Deutschen Herzzentrum der Charité zu Unterschieden bei Läsionserzeugung und VHF-Rezidiven nach Kryoballonablation zwischen Männern und Frauen.</w:t>
      </w:r>
    </w:p>
    <w:p>
      <w:r>
        <w:rPr>
          <w:b/>
        </w:rPr>
        <w:t xml:space="preserve">Ergebnis: </w:t>
      </w:r>
      <w:r>
        <w:t>Geschlechtsspezifische Unterschiede in Läsionsmerkamlen und Rezidivraten werden identifiziert - die genauen Zahlen sind im zur Verfügung stehenden Abstract nicht genannt, aber systematische Unterschiede in der Ablationswirksamkeit zwischen Frauen und Männern wurden nachgewiesen.</w:t>
      </w:r>
    </w:p>
    <w:p>
      <w:r>
        <w:rPr>
          <w:b/>
          <w:sz w:val="19"/>
        </w:rPr>
        <w:t xml:space="preserve">Übertragbarkeit: </w:t>
      </w:r>
      <w:r>
        <w:rPr>
          <w:sz w:val="19"/>
        </w:rPr>
        <w:t>Deutsche Klinikdaten, vergleichbare Dokumentation und Strukturen</w:t>
      </w:r>
    </w:p>
    <w:p>
      <w:r>
        <w:rPr>
          <w:color w:val="5A7D3A"/>
          <w:sz w:val="18"/>
        </w:rPr>
        <w:t>https://pubmed.ncbi.nlm.nih.gov/42696497/</w:t>
      </w:r>
    </w:p>
    <w:p>
      <w:pPr>
        <w:pStyle w:val="Heading2"/>
      </w:pPr>
      <w:r>
        <w:t>Zielplatzierung der Ventrikelektrodenposition - keine Verbesserung der Krankenhausaufenthalte</w:t>
      </w:r>
    </w:p>
    <w:p>
      <w:r>
        <w:rPr>
          <w:i/>
          <w:color w:val="666666"/>
          <w:sz w:val="18"/>
        </w:rPr>
        <w:t>Nielsen JC et al.  ·  Lancet  ·  26.09.2026  ·  PMID 42673980</w:t>
      </w:r>
    </w:p>
    <w:p>
      <w:r>
        <w:t>Randomisierte kontrollierte Studie aus Dänemark zur Frage, ob die Positionierung der LV-Elektrode an der Stelle spätester elektrischer Aktivierung bei der biventrikulären Therapie der Herzinsuffizienz (HF) Todesfälle oder HF-Hospitalisierungen reduziert.</w:t>
      </w:r>
    </w:p>
    <w:p>
      <w:r>
        <w:rPr>
          <w:b/>
        </w:rPr>
        <w:t xml:space="preserve">Ergebnis: </w:t>
      </w:r>
      <w:r>
        <w:t>Unter 1000 Patienten mit HF und breitem QRS trat der primäre Endpunkt in 28 % der Interventionsgruppe vs. 26 % der Kontrollgruppe auf (HR 1,10, 95%-KI 0,86–1,39; p=0,45). Komplikationen waren ähnlich, aber Elektrodenkomplikationen häufiger in der Interventionsgruppe. Zielgerichtete Elektrodenplatzierung reduzierte Todesfälle oder HF-Hospitalisierungen nicht.</w:t>
      </w:r>
    </w:p>
    <w:p>
      <w:r>
        <w:rPr>
          <w:b/>
          <w:sz w:val="19"/>
        </w:rPr>
        <w:t xml:space="preserve">Übertragbarkeit: </w:t>
      </w:r>
      <w:r>
        <w:rPr>
          <w:sz w:val="19"/>
        </w:rPr>
        <w:t>Dänemark, nationales, multizentrisch koordiniertes Versorgungssystem, übertragbar auf Deutschland</w:t>
      </w:r>
    </w:p>
    <w:p>
      <w:r>
        <w:rPr>
          <w:color w:val="5A7D3A"/>
          <w:sz w:val="18"/>
        </w:rPr>
        <w:t>https://pubmed.ncbi.nlm.nih.gov/42673980/</w:t>
      </w:r>
    </w:p>
    <w:p>
      <w:pPr>
        <w:pStyle w:val="Heading2"/>
      </w:pPr>
      <w:r>
        <w:t>Hämoglobin bei Herzinsuffizienz - kontextabhängige Deutung von Normalwerten erforderlich</w:t>
      </w:r>
    </w:p>
    <w:p>
      <w:r>
        <w:rPr>
          <w:i/>
          <w:color w:val="666666"/>
          <w:sz w:val="18"/>
        </w:rPr>
        <w:t>Anker SD et al.  ·  J Am Coll Cardiol  ·  28.08.2026  ·  PMID 42670736</w:t>
      </w:r>
    </w:p>
    <w:p>
      <w:r>
        <w:t>Kritische Analyse zur Rolle des Hämoglobins bei Herzinsuffizienzpatienten mit Bezug auf prognostische Implikationen und individualisierte Therapieentscheidungen.</w:t>
      </w:r>
    </w:p>
    <w:p>
      <w:r>
        <w:rPr>
          <w:b/>
        </w:rPr>
        <w:t xml:space="preserve">Ergebnis: </w:t>
      </w:r>
      <w:r>
        <w:t>Während Anämie ein Risikofaktor ist, ist der prädiktive Wert von Hämoglobinwerten im Normalbereich bei HF nicht linear und stark abhängig von Begleiterkrankungen. Normale Hämoglobinwerte können bei HF-Patienten mit Niereninsuffizienz oder anderen Begleiterkrankungen pathologische Bedeutung haben.</w:t>
      </w:r>
    </w:p>
    <w:p>
      <w:r>
        <w:rPr>
          <w:b/>
          <w:sz w:val="19"/>
        </w:rPr>
        <w:t xml:space="preserve">Übertragbarkeit: </w:t>
      </w:r>
      <w:r>
        <w:rPr>
          <w:sz w:val="19"/>
        </w:rPr>
        <w:t>Europäische und deutsche Praxis, etablierte Definitionen gelten auch hier</w:t>
      </w:r>
    </w:p>
    <w:p>
      <w:r>
        <w:rPr>
          <w:color w:val="5A7D3A"/>
          <w:sz w:val="18"/>
        </w:rPr>
        <w:t>https://pubmed.ncbi.nlm.nih.gov/42670736/</w:t>
      </w:r>
    </w:p>
    <w:p>
      <w:pPr>
        <w:pStyle w:val="Heading1"/>
      </w:pPr>
      <w:r>
        <w:t>Aufgenommen am 24.09.2026</w:t>
      </w:r>
    </w:p>
    <w:p>
      <w:pPr>
        <w:pStyle w:val="Heading2"/>
      </w:pPr>
      <w:r>
        <w:t>Orale Hormontherapie erhöht thrombotische Ereignisse in der Menopause deutlich</w:t>
      </w:r>
    </w:p>
    <w:p>
      <w:r>
        <w:rPr>
          <w:i/>
          <w:color w:val="666666"/>
          <w:sz w:val="18"/>
        </w:rPr>
        <w:t>Berggreen J et al.  ·  BMJ  ·  23.09.2026  ·  PMID 42778212</w:t>
      </w:r>
    </w:p>
    <w:p>
      <w:r>
        <w:t>Dänische Kohortenstudie mit 9807 Frauen mit venöser Thromboembolie, 18460 mit ischämischem Schlaganfall und 11974 mit Herzinfarkt zwischen 2003 und 2021; Vergleich zwischen Frauen mit und ohne Hormontherapie.</w:t>
      </w:r>
    </w:p>
    <w:p>
      <w:r>
        <w:rPr>
          <w:b/>
        </w:rPr>
        <w:t xml:space="preserve">Ergebnis: </w:t>
      </w:r>
      <w:r>
        <w:t>Oral-Östrogen-Therapie erhöhte gegenüber Nichtanwendung: Venöse Thromboembolie HR 1,6 (95% CI 1,5–1,8), ischämischer Schlaganfall HR 1,3 (1,2–1,4), Herzinfarkt HR 1,2 (1,1–1,3). Absolute Risikozunahme pro Jahr: 0,09% (VTE), 0,06% (Schlaganfall), 0,03% (Herzinfarkt). Transdermal-Therapie zeigte keine erhöhten Risiken außer für kombinierte zyklische Therapie (MI HR 2,1). Die Risiken stiegen mit Dosis (&gt;1 mg/Tag) und Dauer (&gt;5 Jahre).</w:t>
      </w:r>
    </w:p>
    <w:p>
      <w:r>
        <w:rPr>
          <w:b/>
          <w:sz w:val="19"/>
        </w:rPr>
        <w:t xml:space="preserve">Übertragbarkeit: </w:t>
      </w:r>
      <w:r>
        <w:rPr>
          <w:sz w:val="19"/>
        </w:rPr>
        <w:t>Dänische Registerdaten, europäischer Sozialversicherungskontext, direkt übertragbar</w:t>
      </w:r>
    </w:p>
    <w:p>
      <w:r>
        <w:rPr>
          <w:color w:val="5A7D3A"/>
          <w:sz w:val="18"/>
        </w:rPr>
        <w:t>https://pubmed.ncbi.nlm.nih.gov/42778212/</w:t>
      </w:r>
    </w:p>
    <w:p>
      <w:pPr>
        <w:pStyle w:val="Heading2"/>
      </w:pPr>
      <w:r>
        <w:t>Finerenon bei Herzinsuffizienz mit unerkannter chronischer Nierenerkrankung</w:t>
      </w:r>
    </w:p>
    <w:p>
      <w:r>
        <w:rPr>
          <w:i/>
          <w:color w:val="666666"/>
          <w:sz w:val="18"/>
        </w:rPr>
        <w:t>Ostrominski JW et al.  ·  JAMA Cardiol  ·  23.09.2026  ·  PMID 42776557</w:t>
      </w:r>
    </w:p>
    <w:p>
      <w:r>
        <w:t>Sekundäranalyse der FINEARTS-HF-Studie zur Prävalenz und kardiovaskulären Folgen undiagnostizierter chronischer Nierenerkrankung bei Herzinsuffizienz-Hochrisikopatienten.</w:t>
      </w:r>
    </w:p>
    <w:p>
      <w:r>
        <w:rPr>
          <w:b/>
        </w:rPr>
        <w:t xml:space="preserve">Ergebnis: </w:t>
      </w:r>
      <w:r>
        <w:t>Keine Abstrakt-Ergebnisse verfügbar (nur Ankündigung der Analyse); Sekundäranalyse ohne benannte Endpunkte im Abstract.</w:t>
      </w:r>
    </w:p>
    <w:p>
      <w:r>
        <w:rPr>
          <w:color w:val="5A7D3A"/>
          <w:sz w:val="18"/>
        </w:rPr>
        <w:t>https://pubmed.ncbi.nlm.nih.gov/42776557/</w:t>
      </w:r>
    </w:p>
    <w:p>
      <w:pPr>
        <w:pStyle w:val="Heading2"/>
      </w:pPr>
      <w:r>
        <w:t>Neue Flussparameter senken unbestimmte Stress-Echos bei Aortenstenose</w:t>
      </w:r>
    </w:p>
    <w:p>
      <w:r>
        <w:rPr>
          <w:i/>
          <w:color w:val="666666"/>
          <w:sz w:val="18"/>
        </w:rPr>
        <w:t>Vamvakidou A et al.  ·  Circ Cardiovasc Imaging  ·  23.09.2026  ·  PMID 42775464</w:t>
      </w:r>
    </w:p>
    <w:p>
      <w:r>
        <w:t>Retrospektive europäische Multicenterstudie mit 287 Patienten mit Low-gradient-Aortenstenose und Dobutamin-Stressechokardiographie; Bewertung konventioneller vs. neuer transvalvulärer Flusskriterien.</w:t>
      </w:r>
    </w:p>
    <w:p>
      <w:r>
        <w:rPr>
          <w:b/>
        </w:rPr>
        <w:t xml:space="preserve">Ergebnis: </w:t>
      </w:r>
      <w:r>
        <w:t>Mit konventionellen Kriterien: 43% unbestimmte Befunde. Mit neuen Flusskriterien sank dieser Anteil auf 9%. Bei 84 (29%) Patienten mit angewandten neuen Kriterien hatte Aortenklappenintervention einen Überlebensvorteil (HR 0,50; 95% CI 0,27–0,92; p=0,03). Die neuen Kriterien verbesserten diagnostische Testraten von 57% auf 91% insgesamt.</w:t>
      </w:r>
    </w:p>
    <w:p>
      <w:r>
        <w:rPr>
          <w:b/>
          <w:sz w:val="19"/>
        </w:rPr>
        <w:t xml:space="preserve">Übertragbarkeit: </w:t>
      </w:r>
      <w:r>
        <w:rPr>
          <w:sz w:val="19"/>
        </w:rPr>
        <w:t>Multi-nationale europäische Studie, vergleichbare Leitlinien und Echokardiographie-Standards</w:t>
      </w:r>
    </w:p>
    <w:p>
      <w:r>
        <w:rPr>
          <w:color w:val="5A7D3A"/>
          <w:sz w:val="18"/>
        </w:rPr>
        <w:t>https://pubmed.ncbi.nlm.nih.gov/42775464/</w:t>
      </w:r>
    </w:p>
    <w:p>
      <w:pPr>
        <w:pStyle w:val="Heading2"/>
      </w:pPr>
      <w:r>
        <w:t>Asb2-KIF11-Achse schützt vor Herzinsuffizienz durch Lysosomal-Homöostase</w:t>
      </w:r>
    </w:p>
    <w:p>
      <w:r>
        <w:rPr>
          <w:i/>
          <w:color w:val="666666"/>
          <w:sz w:val="18"/>
        </w:rPr>
        <w:t>Lv Y et al.  ·  Circulation  ·  22.09.2026  ·  PMID 42770210</w:t>
      </w:r>
    </w:p>
    <w:p>
      <w:r>
        <w:t>Präklinische Studie in transgenen Mäusen: Asb2-Mangel führte zu Herzinsuffizienz; Wiederherstellung von Asb2 oder KIF11-Inhibition verbesserte Herzfunktion bei Druckbelastung und Alterung.</w:t>
      </w:r>
    </w:p>
    <w:p>
      <w:r>
        <w:rPr>
          <w:b/>
        </w:rPr>
        <w:t xml:space="preserve">Ergebnis: </w:t>
      </w:r>
      <w:r>
        <w:t>Asb2-defiziente Mäuse entwickelten spontan kardialen Hypertrophie und Herzinsuffizienz mit Mitochondrien-Dysfunktion. Therapeutische Asb2-Wiederherstellung attenuierte Druckbelastungs- und altersinduzierte Kardiomyopathie. Sowohl genetische als auch pharmakologische KIF11-Inhibition besserte pathologisches kardialen Remodeling in Asb2-defizienten Herzen und TAC-induzierter Dysfunktion.</w:t>
      </w:r>
    </w:p>
    <w:p>
      <w:r>
        <w:rPr>
          <w:b/>
          <w:sz w:val="19"/>
        </w:rPr>
        <w:t xml:space="preserve">Übertragbarkeit: </w:t>
      </w:r>
      <w:r>
        <w:rPr>
          <w:sz w:val="19"/>
        </w:rPr>
        <w:t>Mausmodell, Grundlagen-Zielstruktur KIF11, noch klinisch nicht gestestet</w:t>
      </w:r>
    </w:p>
    <w:p>
      <w:r>
        <w:rPr>
          <w:color w:val="5A7D3A"/>
          <w:sz w:val="18"/>
        </w:rPr>
        <w:t>https://pubmed.ncbi.nlm.nih.gov/42770210/</w:t>
      </w:r>
    </w:p>
    <w:p>
      <w:pPr>
        <w:pStyle w:val="Heading2"/>
      </w:pPr>
      <w:r>
        <w:t>Pulmonalarterien-Compliance vorhersagt schlechte Prognose bei rechtsventrikulärer Dysfunktion</w:t>
      </w:r>
    </w:p>
    <w:p>
      <w:r>
        <w:rPr>
          <w:i/>
          <w:color w:val="666666"/>
          <w:sz w:val="18"/>
        </w:rPr>
        <w:t>Nishikawa K et al.  ·  Open Heart  ·  21.09.2026  ·  PMID 42767710</w:t>
      </w:r>
    </w:p>
    <w:p>
      <w:r>
        <w:t>Japanische Kohortenstudie mit 155 Patienten (202 Rechtsherzkateter); Untersuchung von Hämodynamik-Parametern und prognostischen Prädiktoren bei rechtsventrikulärer Dysfunktion und Herzinsuffizienz.</w:t>
      </w:r>
    </w:p>
    <w:p>
      <w:r>
        <w:rPr>
          <w:b/>
        </w:rPr>
        <w:t xml:space="preserve">Ergebnis: </w:t>
      </w:r>
      <w:r>
        <w:t>Optimales Herzminuten-Volumen erreicht bei RAP 10–15 mm Hg. Herzfrequenz zeigte nicht-linearen Zusammenhang mit Herzminutenvolumen (Gipfel ~80 bpm). PA-Compliance &lt;4,9 mL/mm Hg war unabhängiger Prädiktor des primären Endpunkts (Tod oder HF-Hospitalisierung) über 1,4 Jahre Median-Follow-up. RAP &gt;10 mm Hg war in univariaten, nicht aber multivariaten Analysen signifikant.</w:t>
      </w:r>
    </w:p>
    <w:p>
      <w:r>
        <w:rPr>
          <w:b/>
          <w:sz w:val="19"/>
        </w:rPr>
        <w:t xml:space="preserve">Übertragbarkeit: </w:t>
      </w:r>
      <w:r>
        <w:rPr>
          <w:sz w:val="19"/>
        </w:rPr>
        <w:t>Japan-Kohorte, physiologische Parameter übertragbar auf deutsches Katheter-Setting</w:t>
      </w:r>
    </w:p>
    <w:p>
      <w:r>
        <w:rPr>
          <w:color w:val="5A7D3A"/>
          <w:sz w:val="18"/>
        </w:rPr>
        <w:t>https://pubmed.ncbi.nlm.nih.gov/42767710/</w:t>
      </w:r>
    </w:p>
    <w:p>
      <w:pPr>
        <w:pStyle w:val="Heading2"/>
      </w:pPr>
      <w:r>
        <w:t>Standardisiertes Imaging für linksventrikuläre Appendage-Verschluss-Prozeduren</w:t>
      </w:r>
    </w:p>
    <w:p>
      <w:r>
        <w:rPr>
          <w:i/>
          <w:color w:val="666666"/>
          <w:sz w:val="18"/>
        </w:rPr>
        <w:t>Wunderlich NC et al.  ·  EuroIntervention  ·  07.09.2026  ·  PMID 42703764</w:t>
      </w:r>
    </w:p>
    <w:p>
      <w:r>
        <w:t>Europäischer Experten-Konsens der ELAACC mit vereinheitlichtem Rahmen für prä-, intra- und postprozedurales Imaging beim links-atrialen-Appendage-Verschluss zur Reduktion von Variabilität und Verbesserung der Reproduzierbarkeit.</w:t>
      </w:r>
    </w:p>
    <w:p>
      <w:r>
        <w:rPr>
          <w:b/>
        </w:rPr>
        <w:t xml:space="preserve">Ergebnis: </w:t>
      </w:r>
      <w:r>
        <w:t>Konsens empfiehlt hochqualitative 3D-Bildakquisition, multiplanare Rekonstruktion, standardisierte Nomenklatur und Messungen. Prä-prozedural: 3D-Bildgebung und Measurements. Intra-prozedural: 3D-TEE, ICE, Fusionsbildgebung für Punktion und Device-Platzierung. Post-prozedural: Harmonisierte Echo- und CT-Kriterien für Device-Thrombus, Leck und Stabilität mit strukturiertem Follow-up-Pfad.</w:t>
      </w:r>
    </w:p>
    <w:p>
      <w:r>
        <w:rPr>
          <w:b/>
          <w:sz w:val="19"/>
        </w:rPr>
        <w:t xml:space="preserve">Übertragbarkeit: </w:t>
      </w:r>
      <w:r>
        <w:rPr>
          <w:sz w:val="19"/>
        </w:rPr>
        <w:t>Europäische Expertengruppe, deutsches Versorgungssystem beteiligt, unmittelbar umsetzbar</w:t>
      </w:r>
    </w:p>
    <w:p>
      <w:r>
        <w:rPr>
          <w:color w:val="5A7D3A"/>
          <w:sz w:val="18"/>
        </w:rPr>
        <w:t>https://pubmed.ncbi.nlm.nih.gov/42703764/</w:t>
      </w:r>
    </w:p>
    <w:p>
      <w:pPr>
        <w:pStyle w:val="Heading1"/>
      </w:pPr>
      <w:r>
        <w:t>Aufgenommen am 23.09.2026</w:t>
      </w:r>
    </w:p>
    <w:p>
      <w:pPr>
        <w:pStyle w:val="Heading2"/>
      </w:pPr>
      <w:r>
        <w:t>Refibrillation nach öffentlichen Defibrillatoren in Laienreanimation</w:t>
      </w:r>
    </w:p>
    <w:p>
      <w:r>
        <w:rPr>
          <w:i/>
          <w:color w:val="666666"/>
          <w:sz w:val="18"/>
        </w:rPr>
        <w:t>Kernaghan A et al.  ·  Open Heart  ·  22.09.2026  ·  PMID 42772919</w:t>
      </w:r>
    </w:p>
    <w:p>
      <w:r>
        <w:t>Analyse von 1.459 Herzstillstands-Patienten mit öffentlichen Defibrillatoren, um Refibrillations-Muster und zeitliche Verläufe zu beschreiben.</w:t>
      </w:r>
    </w:p>
    <w:p>
      <w:r>
        <w:rPr>
          <w:b/>
        </w:rPr>
        <w:t xml:space="preserve">Ergebnis: </w:t>
      </w:r>
      <w:r>
        <w:t>Refibrillation trat bei 498 Patienten (34,1%) auf mit Median-Zeit von 29,8 s nach erfolgreichem Schock. Nur 11 Patienten (4,8% der 231 mit drei Schocks) hatten schockresistentes Kammerflimmern. Bei 2-Minuten-CPR-Zyklen folgt der nächste Schock etwa 90 s später; dies unterstreicht, dass Refibrillation ein relevantes Phänomen ist.</w:t>
      </w:r>
    </w:p>
    <w:p>
      <w:r>
        <w:rPr>
          <w:b/>
          <w:sz w:val="19"/>
        </w:rPr>
        <w:t xml:space="preserve">Übertragbarkeit: </w:t>
      </w:r>
      <w:r>
        <w:rPr>
          <w:sz w:val="19"/>
        </w:rPr>
        <w:t>UK-Daten, Defibrillations-Physiologie universal</w:t>
      </w:r>
    </w:p>
    <w:p>
      <w:r>
        <w:rPr>
          <w:color w:val="5A7D3A"/>
          <w:sz w:val="18"/>
        </w:rPr>
        <w:t>https://pubmed.ncbi.nlm.nih.gov/42772919/</w:t>
      </w:r>
    </w:p>
    <w:p>
      <w:pPr>
        <w:pStyle w:val="Heading2"/>
      </w:pPr>
      <w:r>
        <w:t>Diabetes Typ 2 verschlimmert Fibrosen und Ausgang bei hypertrophischer Kardiomyopathie</w:t>
      </w:r>
    </w:p>
    <w:p>
      <w:r>
        <w:rPr>
          <w:i/>
          <w:color w:val="666666"/>
          <w:sz w:val="18"/>
        </w:rPr>
        <w:t>Cao Y et al.  ·  Int J Cardiol  ·  22.09.2026  ·  PMID 42772601</w:t>
      </w:r>
    </w:p>
    <w:p>
      <w:r>
        <w:t>Kardiale Magnetresonanz-Studie an 582 HCM-Patienten mit/ohne Diabetes Typ 2 zur Einschätzung struktureller und prognostischer Unterschiede.</w:t>
      </w:r>
    </w:p>
    <w:p>
      <w:r>
        <w:rPr>
          <w:b/>
        </w:rPr>
        <w:t xml:space="preserve">Ergebnis: </w:t>
      </w:r>
      <w:r>
        <w:t>HbA1c-Erhöhung war mit stärkerer Fibrosen-Last (6,1% vs. 2,3% late gadolinium enhancement; p &lt; 0,001) und schlechterer linksventrikulärer Längsdehnung (11,0% vs. 11,9%; p = 0,002) assoziiert. Über 35 Monate Nachsorge hatten T2DM-Patienten höheres Risiko für Endpunkt-Ereignisse (24% vs. 16%; p = 0,015). Mediationsanalyse zeigte 71% Effekt über Fibrosen vermittelt.</w:t>
      </w:r>
    </w:p>
    <w:p>
      <w:r>
        <w:rPr>
          <w:b/>
          <w:sz w:val="19"/>
        </w:rPr>
        <w:t xml:space="preserve">Übertragbarkeit: </w:t>
      </w:r>
      <w:r>
        <w:rPr>
          <w:sz w:val="19"/>
        </w:rPr>
        <w:t>China, prospektive Validierung nötig, aber HCM-Phänotyp global konsistent</w:t>
      </w:r>
    </w:p>
    <w:p>
      <w:r>
        <w:rPr>
          <w:color w:val="5A7D3A"/>
          <w:sz w:val="18"/>
        </w:rPr>
        <w:t>https://pubmed.ncbi.nlm.nih.gov/42772601/</w:t>
      </w:r>
    </w:p>
    <w:p>
      <w:pPr>
        <w:pStyle w:val="Heading2"/>
      </w:pPr>
      <w:r>
        <w:t>Interleukin-8 und Neutrophilen-Biomarker für 1-Jahres-Sterblichkeit nach Herzinfarkt</w:t>
      </w:r>
    </w:p>
    <w:p>
      <w:r>
        <w:rPr>
          <w:i/>
          <w:color w:val="666666"/>
          <w:sz w:val="18"/>
        </w:rPr>
        <w:t>Wang YJ et al.  ·  Clin Res Cardiol  ·  22.09.2026  ·  PMID 42771188</w:t>
      </w:r>
    </w:p>
    <w:p>
      <w:r>
        <w:t>Untersuchung, welche Neutrophilen-assoziierten Biomarker bei Herzinfarkt-Patienten die 1-Jahres-Sterblichkeit vorhersagen.</w:t>
      </w:r>
    </w:p>
    <w:p>
      <w:r>
        <w:rPr>
          <w:b/>
        </w:rPr>
        <w:t xml:space="preserve">Ergebnis: </w:t>
      </w:r>
      <w:r>
        <w:t>IL-8 (Median: 66,82 vs. 41,24 pg/mL; p = 0,001) und zellfreie DNA waren signifikant erhöht bei Fällen mit Tod oder erneutem Herzinfarkt innerhalb eines Jahres. IL-8 zeigte die stärkste Assoziation mit Sterblichkeit (OR = 2,14; p = 0,019 für Tod) und war am höchsten in der hyperakuten Phase (&lt;6 h), noch vor hochsensitivem Troponin T. Diese Marker könnten die frühe Risikostratifizierung verbessern.</w:t>
      </w:r>
    </w:p>
    <w:p>
      <w:r>
        <w:rPr>
          <w:b/>
          <w:sz w:val="19"/>
        </w:rPr>
        <w:t xml:space="preserve">Übertragbarkeit: </w:t>
      </w:r>
      <w:r>
        <w:rPr>
          <w:sz w:val="19"/>
        </w:rPr>
        <w:t>Schweizer Kohortendaten (SPUM-ACS), vergleichbar mit deutschem Dokumentations­standard</w:t>
      </w:r>
    </w:p>
    <w:p>
      <w:r>
        <w:rPr>
          <w:color w:val="5A7D3A"/>
          <w:sz w:val="18"/>
        </w:rPr>
        <w:t>https://pubmed.ncbi.nlm.nih.gov/42771188/</w:t>
      </w:r>
    </w:p>
    <w:p>
      <w:pPr>
        <w:pStyle w:val="Heading2"/>
      </w:pPr>
      <w:r>
        <w:t>Frühe Empagliflozin-Gabe senkt Sterblichkeit nach Herzinsuffizienz-Hospitalisierung</w:t>
      </w:r>
    </w:p>
    <w:p>
      <w:r>
        <w:rPr>
          <w:i/>
          <w:color w:val="666666"/>
          <w:sz w:val="18"/>
        </w:rPr>
        <w:t>Greene SJ et al.  ·  ESC Heart Fail  ·  22.09.2026  ·  PMID 42770322</w:t>
      </w:r>
    </w:p>
    <w:p>
      <w:r>
        <w:t>Vergleich der 1-Jahres-Ergebnisse bei früher (während Aufenthalt oder 0–7 Tage nach Entlassung) versus verzögerter oder keiner Empagliflozin-Initiation nach Krankenhausaufenthalt wegen Herzinsuffizienz.</w:t>
      </w:r>
    </w:p>
    <w:p>
      <w:r>
        <w:rPr>
          <w:b/>
        </w:rPr>
        <w:t xml:space="preserve">Ergebnis: </w:t>
      </w:r>
      <w:r>
        <w:t>Frühe Empagliflozin-Initiation war mit niedrigerer 1-Jahres-Sterblichkeit assoziiert (RR 0,73, 95%-KI: 0,69–0,78). Absolute Mortalitätsrisiken betrugen 24,7% (früh), 31,1% (intermediate) und 33,6% (verzögert/keine). Frühe Initiation reduzierte auch Wiederaufnahmen (RR 0,86, KI: 0,81–0,92) und Notfall-Besuche (RR 0,87, KI: 0,82–0,93).</w:t>
      </w:r>
    </w:p>
    <w:p>
      <w:r>
        <w:rPr>
          <w:b/>
          <w:sz w:val="19"/>
        </w:rPr>
        <w:t xml:space="preserve">Übertragbarkeit: </w:t>
      </w:r>
      <w:r>
        <w:rPr>
          <w:sz w:val="19"/>
        </w:rPr>
        <w:t>US-Verwaltungsdaten (Optum), Ergebnis unabhängig von Versorgungssystem</w:t>
      </w:r>
    </w:p>
    <w:p>
      <w:r>
        <w:rPr>
          <w:color w:val="5A7D3A"/>
          <w:sz w:val="18"/>
        </w:rPr>
        <w:t>https://pubmed.ncbi.nlm.nih.gov/42770322/</w:t>
      </w:r>
    </w:p>
    <w:p>
      <w:pPr>
        <w:pStyle w:val="Heading2"/>
      </w:pPr>
      <w:r>
        <w:t>Kurzkettige Fettsäuren fördern Herzinfarkt-Heilung via Makrophagen-Weg</w:t>
      </w:r>
    </w:p>
    <w:p>
      <w:r>
        <w:rPr>
          <w:i/>
          <w:color w:val="666666"/>
          <w:sz w:val="18"/>
        </w:rPr>
        <w:t>Zhang Q et al.  ·  Basic Res Cardiol  ·  21.09.2026  ·  PMID 42766108</w:t>
      </w:r>
    </w:p>
    <w:p>
      <w:r>
        <w:t>Integrierte klinische und experimentelle Studie zum Einfluss von Blutspiegel-Kurzkettige-Fettsäuren (Butyrat, Propionat) auf Post-Infarkt-Remodeling im Menschen und Mausmodell.</w:t>
      </w:r>
    </w:p>
    <w:p>
      <w:r>
        <w:rPr>
          <w:b/>
        </w:rPr>
        <w:t xml:space="preserve">Ergebnis: </w:t>
      </w:r>
      <w:r>
        <w:t>Im Menschen waren zirkulierende Kurzketten-Fettsäuren nach Herzinfarkt deutlich erniedrigt und assoziiert mit komplexeren koronaren Läsionen und höherem MACE-Risiko. Im Maus-Herzinfarkt: SCFA-Supplementierung reduzierte Infarkt-Expansion, Kardiomyozyten-Apoptose und kardiale Ruptur und verbesserte linksventrikuläre Funktion. Mechanistisch: FFAR2-Aktivierung unterdrückt osteoklasten-ähnliche Makrophagen-Differenzierung.</w:t>
      </w:r>
    </w:p>
    <w:p>
      <w:r>
        <w:rPr>
          <w:b/>
          <w:sz w:val="19"/>
        </w:rPr>
        <w:t xml:space="preserve">Übertragbarkeit: </w:t>
      </w:r>
      <w:r>
        <w:rPr>
          <w:sz w:val="19"/>
        </w:rPr>
        <w:t>Deutsch-chinesische Kooperation (Beijing), Mechanisms gelten translational</w:t>
      </w:r>
    </w:p>
    <w:p>
      <w:r>
        <w:rPr>
          <w:color w:val="5A7D3A"/>
          <w:sz w:val="18"/>
        </w:rPr>
        <w:t>https://pubmed.ncbi.nlm.nih.gov/42766108/</w:t>
      </w:r>
    </w:p>
    <w:p>
      <w:pPr>
        <w:pStyle w:val="Heading2"/>
      </w:pPr>
      <w:r>
        <w:t>Neuer Kalziumkanal-Modulator bessert hypertrophe Kardiomyopathie</w:t>
      </w:r>
    </w:p>
    <w:p>
      <w:r>
        <w:rPr>
          <w:i/>
          <w:color w:val="666666"/>
          <w:sz w:val="18"/>
        </w:rPr>
        <w:t>Er TS et al.  ·  Circ Res  ·  18.09.2026  ·  PMID 42755710</w:t>
      </w:r>
    </w:p>
    <w:p>
      <w:r>
        <w:t>Experimentelle Grundlagenstudie an einem Tiermodell zur Wirksamkeit eines neuartigen Kalziumkanal-Modulators gegen Herzhypertrophie.</w:t>
      </w:r>
    </w:p>
    <w:p>
      <w:r>
        <w:rPr>
          <w:b/>
        </w:rPr>
        <w:t xml:space="preserve">Ergebnis: </w:t>
      </w:r>
      <w:r>
        <w:t>Abstract stellt nur die Untersuchung dar, nennt aber keine quantitativen Ergebnisse zur Wirkung oder zum Ausmaß der Besserung.</w:t>
      </w:r>
    </w:p>
    <w:p>
      <w:r>
        <w:rPr>
          <w:b/>
          <w:sz w:val="19"/>
        </w:rPr>
        <w:t xml:space="preserve">Übertragbarkeit: </w:t>
      </w:r>
      <w:r>
        <w:rPr>
          <w:sz w:val="19"/>
        </w:rPr>
        <w:t>Australisch-deutsches Grundlagenwerk, noch klinischer Weg unklar</w:t>
      </w:r>
    </w:p>
    <w:p>
      <w:r>
        <w:rPr>
          <w:color w:val="5A7D3A"/>
          <w:sz w:val="18"/>
        </w:rPr>
        <w:t>https://pubmed.ncbi.nlm.nih.gov/42755710/</w:t>
      </w:r>
    </w:p>
    <w:p>
      <w:pPr>
        <w:pStyle w:val="Heading1"/>
      </w:pPr>
      <w:r>
        <w:t>Aufgenommen am 22.09.2026</w:t>
      </w:r>
    </w:p>
    <w:p>
      <w:pPr>
        <w:pStyle w:val="Heading2"/>
      </w:pPr>
      <w:r>
        <w:t>Blutdruckoptimierung senkt intrakranielle Blutung nach Tenecteplase bei Myokardinfarkt</w:t>
      </w:r>
    </w:p>
    <w:p>
      <w:r>
        <w:rPr>
          <w:i/>
          <w:color w:val="666666"/>
          <w:sz w:val="18"/>
        </w:rPr>
        <w:t>Armstrong PW et al.  ·  Eur Heart J  ·  21.09.2026  ·  PMID 42766418</w:t>
      </w:r>
    </w:p>
    <w:p>
      <w:r>
        <w:t>Poolanalyse von 15.954 STEMI-Patienten aus 6 randomisierten Studien zur Ermittlung von Risikofaktoren für intrakranielle Blutung nach Fibrinolyse-Therapie mit Tenecteplase.</w:t>
      </w:r>
    </w:p>
    <w:p>
      <w:r>
        <w:rPr>
          <w:b/>
        </w:rPr>
        <w:t xml:space="preserve">Ergebnis: </w:t>
      </w:r>
      <w:r>
        <w:t>Für jeden 1 mmHg Anstieg des systolischen Blutdrucks über 110 mmHg erhöhte sich das ICH-Risiko um 2% (aOR 1,02; KI 1,01–1,03; p&lt;0,0001). Weibliches Geschlecht (aOR 1,49; KI 1,06–2,11) und niedriges Körpergewicht (je 5 kg Abnahme aOR 1,16; KI 1,03–1,30) erhöhten das Risiko signifikant. Ein Nomogramm mit Age-Dose-Interaktion zeigte gute Diskriminanz (C-Index 0,718).</w:t>
      </w:r>
    </w:p>
    <w:p>
      <w:r>
        <w:rPr>
          <w:b/>
          <w:sz w:val="19"/>
        </w:rPr>
        <w:t xml:space="preserve">Übertragbarkeit: </w:t>
      </w:r>
      <w:r>
        <w:rPr>
          <w:sz w:val="19"/>
        </w:rPr>
        <w:t>Internationale Myokardinfarkt-Studien mit standardisierter Blutdruck-Exclusion</w:t>
      </w:r>
    </w:p>
    <w:p>
      <w:r>
        <w:rPr>
          <w:color w:val="5A7D3A"/>
          <w:sz w:val="18"/>
        </w:rPr>
        <w:t>https://pubmed.ncbi.nlm.nih.gov/42766418/</w:t>
      </w:r>
    </w:p>
    <w:p>
      <w:pPr>
        <w:pStyle w:val="Heading2"/>
      </w:pPr>
      <w:r>
        <w:t>FFR-gesteuertes Revaskularisieren bei NSTE-ACS verringert unnötige Eingriffe</w:t>
      </w:r>
    </w:p>
    <w:p>
      <w:r>
        <w:rPr>
          <w:i/>
          <w:color w:val="666666"/>
          <w:sz w:val="18"/>
        </w:rPr>
        <w:t>Paolucci L et al.  ·  EuroIntervention  ·  21.09.2026  ·  PMID 42765399</w:t>
      </w:r>
    </w:p>
    <w:p>
      <w:r>
        <w:t>Meta-Analyse von 5 randomisierten Studien mit 2.493 Patienten (52,8% Chronische Koronarsyndrom, 47,2% NSTE-ACS) zu Outcomes nach FFR-gesteuert vs. angiographisch-gesteuerter PCI.</w:t>
      </w:r>
    </w:p>
    <w:p>
      <w:r>
        <w:rPr>
          <w:b/>
        </w:rPr>
        <w:t xml:space="preserve">Ergebnis: </w:t>
      </w:r>
      <w:r>
        <w:t>FFR-Strategie war mit ähnlicher MACE-Rate bei 1 Jahr assoziiert in NSTE-ACS (HR 0,86; KI 0,63–1,18) und CCS (HR 0,78; KI 0,58–1,05); p-Interaktion=0,792. Keine erhöhte MACE-Rate durch Lesion-Deferral. Befund über 5 Jahre bestätigt.</w:t>
      </w:r>
    </w:p>
    <w:p>
      <w:r>
        <w:rPr>
          <w:b/>
          <w:sz w:val="19"/>
        </w:rPr>
        <w:t xml:space="preserve">Übertragbarkeit: </w:t>
      </w:r>
      <w:r>
        <w:rPr>
          <w:sz w:val="19"/>
        </w:rPr>
        <w:t>Europäische Studiennetze, direkt auf deutsches Revaskularisierungs-Management übertragbar</w:t>
      </w:r>
    </w:p>
    <w:p>
      <w:r>
        <w:rPr>
          <w:color w:val="5A7D3A"/>
          <w:sz w:val="18"/>
        </w:rPr>
        <w:t>https://pubmed.ncbi.nlm.nih.gov/42765399/</w:t>
      </w:r>
    </w:p>
    <w:p>
      <w:pPr>
        <w:pStyle w:val="Heading2"/>
      </w:pPr>
      <w:r>
        <w:t>SCAI-V-Klassifikation stratifiziert Kardiogenen Schock nach Reanimation und vorhersagt Sterblichkeit</w:t>
      </w:r>
    </w:p>
    <w:p>
      <w:r>
        <w:rPr>
          <w:i/>
          <w:color w:val="666666"/>
          <w:sz w:val="18"/>
        </w:rPr>
        <w:t>Roy R et al.  ·  EuroIntervention  ·  21.09.2026  ·  PMID 42765398</w:t>
      </w:r>
    </w:p>
    <w:p>
      <w:r>
        <w:t>Neue Klassifikation des kardiogenen Schocks nach außerklinischem Herzstillstand mittels Schockgrad und Laktat-Level; Derivation (London, Gdańsk; n=627) und externe Validation (TTM-2-Kohorte; n=1.781).</w:t>
      </w:r>
    </w:p>
    <w:p>
      <w:r>
        <w:rPr>
          <w:b/>
        </w:rPr>
        <w:t xml:space="preserve">Ergebnis: </w:t>
      </w:r>
      <w:r>
        <w:t>SCAI-V mit 4 Phänotypen: Non-Shock (Überlebensrate 78% Derivation, 68% Validation), Haemometabolic Shock (20%/27%) als höchstes Mortalitätsrisiko. SCAI-V zeigte besseres Model-Fit und Diskriminanz als SCAI-2022 und -2019. Alle-Ursachen-Mortalität p&lt;0,001.</w:t>
      </w:r>
    </w:p>
    <w:p>
      <w:r>
        <w:rPr>
          <w:b/>
          <w:sz w:val="19"/>
        </w:rPr>
        <w:t xml:space="preserve">Übertragbarkeit: </w:t>
      </w:r>
      <w:r>
        <w:rPr>
          <w:sz w:val="19"/>
        </w:rPr>
        <w:t>Europäische Intensivmedizin und Reanimations-Praxis, vergleichbare Standards</w:t>
      </w:r>
    </w:p>
    <w:p>
      <w:r>
        <w:rPr>
          <w:color w:val="5A7D3A"/>
          <w:sz w:val="18"/>
        </w:rPr>
        <w:t>https://pubmed.ncbi.nlm.nih.gov/42765398/</w:t>
      </w:r>
    </w:p>
    <w:p>
      <w:pPr>
        <w:pStyle w:val="Heading2"/>
      </w:pPr>
      <w:r>
        <w:t>Herztransplantation und mechanische Kreislaufunterstützung verbessern Lebensqualität älterer Patienten unterschiedlich</w:t>
      </w:r>
    </w:p>
    <w:p>
      <w:r>
        <w:rPr>
          <w:i/>
          <w:color w:val="666666"/>
          <w:sz w:val="18"/>
        </w:rPr>
        <w:t>Grady KL et al.  ·  Circ Heart Fail  ·  21.09.2026  ·  PMID 42765308</w:t>
      </w:r>
    </w:p>
    <w:p>
      <w:r>
        <w:t>Prospektive Beobachtungsstudie der SUSTAIN-IT-Studie mit 305 älteren Patienten (60–80 Jahre) von 13 US-Zentren zu Veränderung der gesundheitsbezogenen Lebensqualität vom präoperativen Zeitpunkt bis 24 Monate nach Herztransplantation oder mechanischer Unterstützung.</w:t>
      </w:r>
    </w:p>
    <w:p>
      <w:r>
        <w:rPr>
          <w:b/>
        </w:rPr>
        <w:t xml:space="preserve">Ergebnis: </w:t>
      </w:r>
      <w:r>
        <w:t>HT ohne Präoperative MCS und langfristige MCS: signifikante Verbesserung im EQ-5D-3L Visual Analog Scale innerhalb 6 Monaten, sustained über 24 Monate. Kansas City Cardiomyopathy Questionnaire verbesserte sich in allen 3 Gruppen. MCS zeigte Reduktion von -11,2 Punkten (KI -17,3 bis -5,1; p&lt;0,001) vs. HT ohne MCS.</w:t>
      </w:r>
    </w:p>
    <w:p>
      <w:r>
        <w:rPr>
          <w:b/>
          <w:sz w:val="19"/>
        </w:rPr>
        <w:t xml:space="preserve">Übertragbarkeit: </w:t>
      </w:r>
      <w:r>
        <w:rPr>
          <w:sz w:val="19"/>
        </w:rPr>
        <w:t>USA-Studie, aber HRQOL-Methoden und Outcomemessung sind international standardisiert</w:t>
      </w:r>
    </w:p>
    <w:p>
      <w:r>
        <w:rPr>
          <w:color w:val="5A7D3A"/>
          <w:sz w:val="18"/>
        </w:rPr>
        <w:t>https://pubmed.ncbi.nlm.nih.gov/42765308/</w:t>
      </w:r>
    </w:p>
    <w:p>
      <w:pPr>
        <w:pStyle w:val="Heading2"/>
      </w:pPr>
      <w:r>
        <w:t>Screeningalgorithmus für Titin-Trunkierungs-Träger senkt Überdiagnose und spart Ressourcen</w:t>
      </w:r>
    </w:p>
    <w:p>
      <w:r>
        <w:rPr>
          <w:i/>
          <w:color w:val="666666"/>
          <w:sz w:val="18"/>
        </w:rPr>
        <w:t>Muller SA et al.  ·  Circ Heart Fail  ·  21.09.2026  ·  PMID 42765307</w:t>
      </w:r>
    </w:p>
    <w:p>
      <w:r>
        <w:t>Multizentrische prospektive Studie von 413 verwandten Trägern pathogener Titin-Trunkierungs-Varianten (Folgup 301 Patienten, median 5,7 Jahre) zur Entwicklung eines Screening-Algorithmus für dilatative Kardiomyopathie.</w:t>
      </w:r>
    </w:p>
    <w:p>
      <w:r>
        <w:rPr>
          <w:b/>
        </w:rPr>
        <w:t xml:space="preserve">Ergebnis: </w:t>
      </w:r>
      <w:r>
        <w:t>24,6% entwickelten linksventrikuläre Disfunktion oder Dilatation, 17,3% DCM. 3 Risikoprofile definiert (partielle DCM, weiblich ≥30 Jahre, weiblich &lt;30 Jahre) mit empfohlenen Screening-Intervallen von 1, 3, 5 Jahren. 5,3% erlebten Major Adverse Cardiac Events nach DCM-Diagnose.</w:t>
      </w:r>
    </w:p>
    <w:p>
      <w:r>
        <w:rPr>
          <w:b/>
          <w:sz w:val="19"/>
        </w:rPr>
        <w:t xml:space="preserve">Übertragbarkeit: </w:t>
      </w:r>
      <w:r>
        <w:rPr>
          <w:sz w:val="19"/>
        </w:rPr>
        <w:t>Europäisches Netzwerk seltene Herzerkrankungen, nationale genetische Screeningprogramme</w:t>
      </w:r>
    </w:p>
    <w:p>
      <w:r>
        <w:rPr>
          <w:color w:val="5A7D3A"/>
          <w:sz w:val="18"/>
        </w:rPr>
        <w:t>https://pubmed.ncbi.nlm.nih.gov/42765307/</w:t>
      </w:r>
    </w:p>
    <w:p>
      <w:pPr>
        <w:pStyle w:val="Heading2"/>
      </w:pPr>
      <w:r>
        <w:t>Erhöhtes β-Hydroxybutyrat vorhersagt Sterblichkeit bei Herzinsuffizienz unabhängig von etablierten Risiken</w:t>
      </w:r>
    </w:p>
    <w:p>
      <w:r>
        <w:rPr>
          <w:i/>
          <w:color w:val="666666"/>
          <w:sz w:val="18"/>
        </w:rPr>
        <w:t>Palm CL et al.  ·  ESC Heart Fail  ·  27.08.2026  ·  PMID 42764375</w:t>
      </w:r>
    </w:p>
    <w:p>
      <w:r>
        <w:t>Proteomic-Analyse von 478 Herzinsuffizienz-Patienten aus der BIOSTAT-CHF-Kohorte zur Assoziation von Ketokörpern mit Mortalität und zugrundeliegenden Mechanismen.</w:t>
      </w:r>
    </w:p>
    <w:p>
      <w:r>
        <w:rPr>
          <w:b/>
        </w:rPr>
        <w:t xml:space="preserve">Ergebnis: </w:t>
      </w:r>
      <w:r>
        <w:t>Jede Verdopplung von β-Hydroxybutyrat war mit 36,4% höherer Mortalität assoziiert (adjustierte HR 1,389; KI 1,150–1,677; p&lt;0,001). Pathway-Analyse zeigte Hochregulation von Entzündungs- und Katabalie-Genen; 76% der Mortalitäts-Assoziation wurde durch diese biologischen Pfade erklärt.</w:t>
      </w:r>
    </w:p>
    <w:p>
      <w:r>
        <w:rPr>
          <w:b/>
          <w:sz w:val="19"/>
        </w:rPr>
        <w:t xml:space="preserve">Übertragbarkeit: </w:t>
      </w:r>
      <w:r>
        <w:rPr>
          <w:sz w:val="19"/>
        </w:rPr>
        <w:t>Niederländische-deutsche Multinationale Kohorte, europäische Biomarker-Standards</w:t>
      </w:r>
    </w:p>
    <w:p>
      <w:r>
        <w:rPr>
          <w:color w:val="5A7D3A"/>
          <w:sz w:val="18"/>
        </w:rPr>
        <w:t>https://pubmed.ncbi.nlm.nih.gov/42764375/</w:t>
      </w:r>
    </w:p>
    <w:p>
      <w:pPr>
        <w:pStyle w:val="Heading1"/>
      </w:pPr>
      <w:r>
        <w:t>Aufgenommen am 21.09.2026</w:t>
      </w:r>
    </w:p>
    <w:p>
      <w:pPr>
        <w:pStyle w:val="Heading2"/>
      </w:pPr>
      <w:r>
        <w:t>Wearable mediane Nervenstimulation reduziert Vorhofflimmern nach Ablation</w:t>
      </w:r>
    </w:p>
    <w:p>
      <w:r>
        <w:rPr>
          <w:i/>
          <w:color w:val="666666"/>
          <w:sz w:val="18"/>
        </w:rPr>
        <w:t>Reddy VY et al.  ·  Heart Rhythm  ·  20.09.2026  ·  PMID 42764112</w:t>
      </w:r>
    </w:p>
    <w:p>
      <w:r>
        <w:t>Pilot-RCT zur kutanen medianen Nervenstimulation (MNS) mittels tragbarem Gerät zur Hemmung des autonomen Nervensystems nach Vorhofflimmer-Ablation. 77 Patienten randomisiert, 59 in modifizierter Intention-to-treat-Population ausgewertet.</w:t>
      </w:r>
    </w:p>
    <w:p>
      <w:r>
        <w:rPr>
          <w:b/>
        </w:rPr>
        <w:t xml:space="preserve">Ergebnis: </w:t>
      </w:r>
      <w:r>
        <w:t>In Monaten 2–6 post-blanking traten Vorhofflimmern/Vorhofflattern/Flattern-Ereignisse unter MNS deutlich seltener auf: 12 vs. 243 Events (Rate Ratio 17,93, 95%-KI 10,04–32,0, p&lt;0,0001). Nach Ausschluss eines Hochlast-Ausreißers: 12 vs. 28 Events (RR 2,17, 95%-KI 1,10–4,27, p=0,025). Arrhythmie-Freiheit nach 6 Monaten: 90,0% (MNS) vs. 80,8% (Sham), Hazard Ratio 2,15 (95%-KI 0,42–11,1, p=0,36). Keine ernsthafte unerwünschte Ereignisse gemeldet.</w:t>
      </w:r>
    </w:p>
    <w:p>
      <w:r>
        <w:rPr>
          <w:b/>
          <w:sz w:val="19"/>
        </w:rPr>
        <w:t xml:space="preserve">Übertragbarkeit: </w:t>
      </w:r>
      <w:r>
        <w:rPr>
          <w:sz w:val="19"/>
        </w:rPr>
        <w:t>USA-Pilotstudie, Sicherheitsdaten übertragbar; Wirksamkeit bedarf größerer RCT</w:t>
      </w:r>
    </w:p>
    <w:p>
      <w:r>
        <w:rPr>
          <w:color w:val="5A7D3A"/>
          <w:sz w:val="18"/>
        </w:rPr>
        <w:t>https://pubmed.ncbi.nlm.nih.gov/42764112/</w:t>
      </w:r>
    </w:p>
    <w:p>
      <w:pPr>
        <w:pStyle w:val="Heading2"/>
      </w:pPr>
      <w:r>
        <w:t>STAR Apollo™-Mapping lenkt Redo-Ablation für rezidivierendes Vorhofflimmern: 82,5% Sinusrhythmus nach 12 Monaten</w:t>
      </w:r>
    </w:p>
    <w:p>
      <w:r>
        <w:rPr>
          <w:i/>
          <w:color w:val="666666"/>
          <w:sz w:val="18"/>
        </w:rPr>
        <w:t>Kabra R et al.  ·  Heart Rhythm  ·  20.09.2026  ·  PMID 42764111</w:t>
      </w:r>
    </w:p>
    <w:p>
      <w:r>
        <w:t>Prospektive multizentrische Machbarkeitsstudie: STAR Apollo-System (Stochastischer Trajektorie-Analyse zum Auffinden repetitiver Muster und früher Aktivierungsstellen) bei 50 Patienten mit rezidivierendem persistentem Vorhofflimmern nach Pulmonalvenenisolation. Follow-up 12 Monate.</w:t>
      </w:r>
    </w:p>
    <w:p>
      <w:r>
        <w:rPr>
          <w:b/>
        </w:rPr>
        <w:t xml:space="preserve">Ergebnis: </w:t>
      </w:r>
      <w:r>
        <w:t>Pulmonalvenenwiederverschluss 92,0% (46/50). Sinusrhythmus ohne Kardioversion 46,0%, mit Kardioversion insgesamt 98,0%. Bei 12-Monats-Follow-up (n=40 Patienten): 33 (82,5%) im Sinusrhythmus, Symptomklasse EHRA I in 76,7%. Kaplan-Meier-Analyse (Single-Prozedur): AF-Freiheit 95,3% (6 Monate), 75,3% (12 Monate). Eine Perikarderguss-Komplikation (2,0%).</w:t>
      </w:r>
    </w:p>
    <w:p>
      <w:r>
        <w:rPr>
          <w:b/>
          <w:sz w:val="19"/>
        </w:rPr>
        <w:t xml:space="preserve">Übertragbarkeit: </w:t>
      </w:r>
      <w:r>
        <w:rPr>
          <w:sz w:val="19"/>
        </w:rPr>
        <w:t>USA-Multizenterstudie; System FDA-genehmigt; Machbarkeit und Sicherheit belegt</w:t>
      </w:r>
    </w:p>
    <w:p>
      <w:r>
        <w:rPr>
          <w:color w:val="5A7D3A"/>
          <w:sz w:val="18"/>
        </w:rPr>
        <w:t>https://pubmed.ncbi.nlm.nih.gov/42764111/</w:t>
      </w:r>
    </w:p>
    <w:p>
      <w:pPr>
        <w:pStyle w:val="Heading2"/>
      </w:pPr>
      <w:r>
        <w:t>MYBPC3-Mutationen treiben schwere linksventrikuläre Hypertrophie in pädiatrischer HCM</w:t>
      </w:r>
    </w:p>
    <w:p>
      <w:r>
        <w:rPr>
          <w:i/>
          <w:color w:val="666666"/>
          <w:sz w:val="18"/>
        </w:rPr>
        <w:t>Pahl E et al.  ·  JACC Heart Fail  ·  17.09.2026  ·  PMID 42758059</w:t>
      </w:r>
    </w:p>
    <w:p>
      <w:r>
        <w:t>Genotyp-Phänotyp-Studie aus US-Pädiatriekardiologie-Zentren: 143 Kinder mit HCM, Exom-Sequenzierung, Echokardiographie mit z-Score-Klassifikation der LV-Wanddicke (mild/moderat/schwer).</w:t>
      </w:r>
    </w:p>
    <w:p>
      <w:r>
        <w:rPr>
          <w:b/>
        </w:rPr>
        <w:t xml:space="preserve">Ergebnis: </w:t>
      </w:r>
      <w:r>
        <w:t>51% der Kinder trugen pathogene Varianten (93% sarkomisch). Schwere LVH (28%, n=40) korrelierte mit jüngeres Alter (6,4 vs. 12,9 Jahre, p=0,005) und höherer Wahrscheinlichkeit pathogener Varianten; MYBPC3-Assoziation besonders stark (OR 4,1, 95%-KI 1,7–9,9). Missense-Varianten in MYBPC3 überwogen in Schwer-Fällen gegenüber Stop/Indel/Splicing.</w:t>
      </w:r>
    </w:p>
    <w:p>
      <w:r>
        <w:rPr>
          <w:b/>
          <w:sz w:val="19"/>
        </w:rPr>
        <w:t xml:space="preserve">Übertragbarkeit: </w:t>
      </w:r>
      <w:r>
        <w:rPr>
          <w:sz w:val="19"/>
        </w:rPr>
        <w:t>USA-Register; Genotypisierung auch in Deutschland verfügbar; Kinderkardiologie strukturiert</w:t>
      </w:r>
    </w:p>
    <w:p>
      <w:r>
        <w:rPr>
          <w:color w:val="5A7D3A"/>
          <w:sz w:val="18"/>
        </w:rPr>
        <w:t>https://pubmed.ncbi.nlm.nih.gov/42758059/</w:t>
      </w:r>
    </w:p>
    <w:p>
      <w:pPr>
        <w:pStyle w:val="Heading2"/>
      </w:pPr>
      <w:r>
        <w:t>Alleinige Kulprit-Revaskularisierung bei Herzinfarkt mit Kardiogenem Schock</w:t>
      </w:r>
    </w:p>
    <w:p>
      <w:r>
        <w:rPr>
          <w:i/>
          <w:color w:val="666666"/>
          <w:sz w:val="18"/>
        </w:rPr>
        <w:t>Bogerd M et al.  ·  J Am Heart Assoc  ·  18.09.2026  ·  PMID 42757943</w:t>
      </w:r>
    </w:p>
    <w:p>
      <w:r>
        <w:t>Registerstudie aus den Niederlanden zu Revaskularisierungsstrategie (Culprit-only vs. Multivessel) bei akutem Myokardinfarkt mit kardiogenem Schock.</w:t>
      </w:r>
    </w:p>
    <w:p>
      <w:r>
        <w:rPr>
          <w:b/>
        </w:rPr>
        <w:t xml:space="preserve">Ergebnis: </w:t>
      </w:r>
      <w:r>
        <w:t>Keine statistisch signifikanten Unterschiede in Krankenhausmortalität, wiederholter Revaskularisierung oder Stentrestenose bei Culprit-only-Strategie. Daten bestätigen Sicherheit und Effizienz des Culprit-only-Ansatzes in realer Versorgungspraxis, um unnötige Koronarverletzung zu vermeiden.</w:t>
      </w:r>
    </w:p>
    <w:p>
      <w:r>
        <w:rPr>
          <w:b/>
          <w:sz w:val="19"/>
        </w:rPr>
        <w:t xml:space="preserve">Übertragbarkeit: </w:t>
      </w:r>
      <w:r>
        <w:rPr>
          <w:sz w:val="19"/>
        </w:rPr>
        <w:t>Niederlande, ähnliches Gesundheitssystem; deutsches Infarktmanagement orientiert sich an europäischen Leitlinien</w:t>
      </w:r>
    </w:p>
    <w:p>
      <w:r>
        <w:rPr>
          <w:color w:val="5A7D3A"/>
          <w:sz w:val="18"/>
        </w:rPr>
        <w:t>https://pubmed.ncbi.nlm.nih.gov/42757943/</w:t>
      </w:r>
    </w:p>
    <w:p>
      <w:pPr>
        <w:pStyle w:val="Heading2"/>
      </w:pPr>
      <w:r>
        <w:t>Krebspatienten mit Herzinfarkt erhalten gleich oft Koronarintervention wie ohne Krebs</w:t>
      </w:r>
    </w:p>
    <w:p>
      <w:r>
        <w:rPr>
          <w:i/>
          <w:color w:val="666666"/>
          <w:sz w:val="18"/>
        </w:rPr>
        <w:t>Greco A et al.  ·  Int J Cardiol  ·  17.09.2026  ·  PMID 42754098</w:t>
      </w:r>
    </w:p>
    <w:p>
      <w:r>
        <w:t>EYESHOT-2-Register: Vergleich Herzinfarkt-Management bei Patienten mit aktuellem Krebs (3,5%), früheren Krebs (4,8%) vs. ohne Krebs; 2797 Patienten in italienischen Herzkliniken.</w:t>
      </w:r>
    </w:p>
    <w:p>
      <w:r>
        <w:rPr>
          <w:b/>
        </w:rPr>
        <w:t xml:space="preserve">Ergebnis: </w:t>
      </w:r>
      <w:r>
        <w:t>PCI-Raten STEMI: 95,6% (aktiv Krebs), 97,1% (Vorgeschichte), 94,0% (kein Krebs), p=0,65. NSTEMI: 69,8%, 73,8%, 73,3%, p=0,84. Nach Adjustierung kein signifikanter Unterschied in PCI-Verzicht (STEMI p=0,42, NSTEMI p=0,78). Blutungskomplikationen in NSTEMI erhöht bei Krebs (5,7 % und 4,6% vs. 1,7%, p=0,03).</w:t>
      </w:r>
    </w:p>
    <w:p>
      <w:r>
        <w:rPr>
          <w:b/>
          <w:sz w:val="19"/>
        </w:rPr>
        <w:t xml:space="preserve">Übertragbarkeit: </w:t>
      </w:r>
      <w:r>
        <w:rPr>
          <w:sz w:val="19"/>
        </w:rPr>
        <w:t>Italien, europäisches Versicherungssystem; Datenqualität durch nationales ANMCO-Register</w:t>
      </w:r>
    </w:p>
    <w:p>
      <w:r>
        <w:rPr>
          <w:color w:val="5A7D3A"/>
          <w:sz w:val="18"/>
        </w:rPr>
        <w:t>https://pubmed.ncbi.nlm.nih.gov/42754098/</w:t>
      </w:r>
    </w:p>
    <w:p>
      <w:pPr>
        <w:pStyle w:val="Heading2"/>
      </w:pPr>
      <w:r>
        <w:t>Kolchizin senkt perioperative Herzinfarkte nach Brustkorb-OP, unabhängig von KHK-Status</w:t>
      </w:r>
    </w:p>
    <w:p>
      <w:r>
        <w:rPr>
          <w:i/>
          <w:color w:val="666666"/>
          <w:sz w:val="18"/>
        </w:rPr>
        <w:t>Razeghi G et al.  ·  Open Heart  ·  15.09.2026  ·  PMID 42744416</w:t>
      </w:r>
    </w:p>
    <w:p>
      <w:r>
        <w:t>Sekundäranalyse der COP-AF-RCT: Kolchizin 0,5 mg vs. Placebo 2×täglich für 10 Tage perioperativ bei nicht-kardialer Brustkorb-Chirurgie; Endpunkt Myokardverletzung nach nicht-kardialer Operation (MINS).</w:t>
      </w:r>
    </w:p>
    <w:p>
      <w:r>
        <w:rPr>
          <w:b/>
        </w:rPr>
        <w:t xml:space="preserve">Ergebnis: </w:t>
      </w:r>
      <w:r>
        <w:t>MINS trat bei Patienten mit KHK häufiger auf (29,3% vs. 18,2% ohne KHK, adjustiert HR 1,53, 95%-KI 1,22–1,92, p&lt;0,001). Kolchizin zeigte keinen signifikanten differenziellen Effekt nach KHK-Status (HR 0,82 vs. 0,91, p für Interaktion=0,61). Für Endpunkt Death/Stroke/MINS: aHR 1,53 (95%-KI 1,22–1,91) bei KHK.</w:t>
      </w:r>
    </w:p>
    <w:p>
      <w:r>
        <w:rPr>
          <w:b/>
          <w:sz w:val="19"/>
        </w:rPr>
        <w:t xml:space="preserve">Übertragbarkeit: </w:t>
      </w:r>
      <w:r>
        <w:rPr>
          <w:sz w:val="19"/>
        </w:rPr>
        <w:t>Multi-nationale RCT (Kanada, Europa, Asien), europäische Chirurgieleitlinien übertragbar</w:t>
      </w:r>
    </w:p>
    <w:p>
      <w:r>
        <w:rPr>
          <w:color w:val="5A7D3A"/>
          <w:sz w:val="18"/>
        </w:rPr>
        <w:t>https://pubmed.ncbi.nlm.nih.gov/42744416/</w:t>
      </w:r>
    </w:p>
    <w:p>
      <w:pPr>
        <w:pStyle w:val="Heading2"/>
      </w:pPr>
      <w:r>
        <w:t>Genotyp bestimmt Linkschenkelblock-Phänotyp und Symptomatik bei dilatativer Kardiomyopathie</w:t>
      </w:r>
    </w:p>
    <w:p>
      <w:r>
        <w:rPr>
          <w:i/>
          <w:color w:val="666666"/>
          <w:sz w:val="18"/>
        </w:rPr>
        <w:t>Fink T et al.  ·  Eur J Heart Fail  ·  04.09.2026  ·  PMID 42695499</w:t>
      </w:r>
    </w:p>
    <w:p>
      <w:r>
        <w:t>Kommentar zu Rolle genetischer Varianten bei Linkschenkelblock im Kontext genetischer Kardiomyopathien; Differenzierung zwischen genetischem Ursprung und Reizleitungsmuster.</w:t>
      </w:r>
    </w:p>
    <w:p>
      <w:r>
        <w:rPr>
          <w:b/>
        </w:rPr>
        <w:t xml:space="preserve">Ergebnis: </w:t>
      </w:r>
      <w:r>
        <w:t>Nicht alle Linkschenkelblöcke sind identisch: Genotyp bestimmt funktionelle Ausprägung; MYBPC3-Mutationen zeigen andere Phänotypen als MYH7 oder andere Gene. Implikation für CRT-Indikation und therapeutische Ansätze.</w:t>
      </w:r>
    </w:p>
    <w:p>
      <w:r>
        <w:rPr>
          <w:b/>
          <w:sz w:val="19"/>
        </w:rPr>
        <w:t xml:space="preserve">Übertragbarkeit: </w:t>
      </w:r>
      <w:r>
        <w:rPr>
          <w:sz w:val="19"/>
        </w:rPr>
        <w:t>Deutschland/Österreich, DZHK-beteilte Zentren; Genotypisierung in Spezialkliniken verfügbar</w:t>
      </w:r>
    </w:p>
    <w:p>
      <w:r>
        <w:rPr>
          <w:color w:val="5A7D3A"/>
          <w:sz w:val="18"/>
        </w:rPr>
        <w:t>https://pubmed.ncbi.nlm.nih.gov/42695499/</w:t>
      </w:r>
    </w:p>
    <w:p>
      <w:pPr>
        <w:pStyle w:val="Heading1"/>
      </w:pPr>
      <w:r>
        <w:t>Aufgenommen am 20.09.2026</w:t>
      </w:r>
    </w:p>
    <w:p>
      <w:pPr>
        <w:pStyle w:val="Heading2"/>
      </w:pPr>
      <w:r>
        <w:t>TAVI-Verzögerung &gt;6 Monate bei schwerer Aortenklappenstenose erhöht Mortalität um 3,5-fach</w:t>
      </w:r>
    </w:p>
    <w:p>
      <w:r>
        <w:rPr>
          <w:i/>
          <w:color w:val="666666"/>
          <w:sz w:val="18"/>
        </w:rPr>
        <w:t>Omuro A et al.  ·  Open Heart  ·  18.09.2026  ·  PMID 42760097</w:t>
      </w:r>
    </w:p>
    <w:p>
      <w:r>
        <w:t>Retrospektive Kohorte von 149 Patienten mit schwerer Aortenklappenstenose: Vergleich früher (&lt;6 Monate) vs. verzögerter (&gt;6 Monate) TAVI auf klinische Ergebnisse.</w:t>
      </w:r>
    </w:p>
    <w:p>
      <w:r>
        <w:rPr>
          <w:b/>
        </w:rPr>
        <w:t xml:space="preserve">Ergebnis: </w:t>
      </w:r>
      <w:r>
        <w:t>Bei medianer Nachbeobachtung von 729 Tagen traten Herzinsuffizienz-Hospitalisierung oder Sterblichkeit in der Verzögerungs-Gruppe häufiger auf (33 % vs. 16 %, p=0,013). In Cox-Regression war Verzögerung unabhängig mit dem Endpunkt assoziiert (HR 3,47; 95 % KI 1,61–7,47; p=0,0014). Höhere Clinical Frailty Scale war auch prädiktiv (HR 1,62).</w:t>
      </w:r>
    </w:p>
    <w:p>
      <w:r>
        <w:rPr>
          <w:b/>
          <w:sz w:val="19"/>
        </w:rPr>
        <w:t xml:space="preserve">Übertragbarkeit: </w:t>
      </w:r>
      <w:r>
        <w:rPr>
          <w:sz w:val="19"/>
        </w:rPr>
        <w:t>Japanische Klinikdaten; Befund zur Prognostik übertragbar, strategische Implikation abhängig von deutscher TAVI-Indikationspraxis.</w:t>
      </w:r>
    </w:p>
    <w:p>
      <w:r>
        <w:rPr>
          <w:color w:val="5A7D3A"/>
          <w:sz w:val="18"/>
        </w:rPr>
        <w:t>https://pubmed.ncbi.nlm.nih.gov/42760097/</w:t>
      </w:r>
    </w:p>
    <w:p>
      <w:pPr>
        <w:pStyle w:val="Heading2"/>
      </w:pPr>
      <w:r>
        <w:t>Vorhofflimmern-assoziierte Schlaganfälle in Norwegen steigen bei unter 65 Jahren trotz Antikoagulation</w:t>
      </w:r>
    </w:p>
    <w:p>
      <w:r>
        <w:rPr>
          <w:i/>
          <w:color w:val="666666"/>
          <w:sz w:val="18"/>
        </w:rPr>
        <w:t>Anjum M et al.  ·  J Am Heart Assoc  ·  18.09.2026  ·  PMID 42757920</w:t>
      </w:r>
    </w:p>
    <w:p>
      <w:r>
        <w:t>Norwegische Bevölkerungsstudie (AFNOR) 2001–2021 zu Trends der VF-bedingten Schlaganfallrate.</w:t>
      </w:r>
    </w:p>
    <w:p>
      <w:r>
        <w:rPr>
          <w:b/>
        </w:rPr>
        <w:t xml:space="preserve">Ergebnis: </w:t>
      </w:r>
      <w:r>
        <w:t>66.795 (29,4 %) von 227.575 Schlaganfällen waren VF-assoziiert. Gesamtinzidenz VF-ischämischer Schlaganfälle stabil (67,8 pro 100.000 2001 vs. 68,4 pro 100.000 2021; IRR 1,01), aber Anstieg bei 15–64 Jahren. 69 % aller VF-ischämischen Schlaganfälle traten bei nicht antikoagulierten Personen auf. VF-assoziierte intrakranielle Blutungen bei ≥75 Jahren nahmen zu, angetrieben durch antikoagulierte Patienten.</w:t>
      </w:r>
    </w:p>
    <w:p>
      <w:r>
        <w:rPr>
          <w:b/>
          <w:sz w:val="19"/>
        </w:rPr>
        <w:t xml:space="preserve">Übertragbarkeit: </w:t>
      </w:r>
      <w:r>
        <w:rPr>
          <w:sz w:val="19"/>
        </w:rPr>
        <w:t>Nordische Bevölkerungsregisterstudie mit ähnlicher Versorgungsstruktur und Antikoagulations-Standards.</w:t>
      </w:r>
    </w:p>
    <w:p>
      <w:r>
        <w:rPr>
          <w:color w:val="5A7D3A"/>
          <w:sz w:val="18"/>
        </w:rPr>
        <w:t>https://pubmed.ncbi.nlm.nih.gov/42757920/</w:t>
      </w:r>
    </w:p>
    <w:p>
      <w:pPr>
        <w:pStyle w:val="Heading2"/>
      </w:pPr>
      <w:r>
        <w:t>Geschlechtsunterschiede bei Androgenen und Herzinfarkt-/Schlaganfallrisiko: KORA-Studie</w:t>
      </w:r>
    </w:p>
    <w:p>
      <w:r>
        <w:rPr>
          <w:i/>
          <w:color w:val="666666"/>
          <w:sz w:val="18"/>
        </w:rPr>
        <w:t>Raeisi-Dehkordi H et al.  ·  J Am Heart Assoc  ·  18.09.2026  ·  PMID 42757908</w:t>
      </w:r>
    </w:p>
    <w:p>
      <w:r>
        <w:t>Beobachtungsstudie an 1.970 Personen in Bayern über 8,6 Jahre zur Rolle von Testosteron und SHBG als Mediatoren geschlechtsspezifischer kardiovaskulärer Risiken.</w:t>
      </w:r>
    </w:p>
    <w:p>
      <w:r>
        <w:rPr>
          <w:b/>
        </w:rPr>
        <w:t xml:space="preserve">Ergebnis: </w:t>
      </w:r>
      <w:r>
        <w:t>71 Schlaganfälle und 63 Herzinfarkte traten auf. Testosteron und Dihydrotestosteron zeigten dimorphe Mediator-Effekte auf das Schlaganfallrisiko (direkt: HR 0,42 und 0,40; indirekt: HR 2,48 und 2,90), nicht auf das Herzinfarktrisiko. Die Geschlechtsdifferenzen bei kardiovaskulären Ereignissen werden nur teilweise durch Androgene erklärt.</w:t>
      </w:r>
    </w:p>
    <w:p>
      <w:r>
        <w:rPr>
          <w:b/>
          <w:sz w:val="19"/>
        </w:rPr>
        <w:t xml:space="preserve">Übertragbarkeit: </w:t>
      </w:r>
      <w:r>
        <w:rPr>
          <w:sz w:val="19"/>
        </w:rPr>
        <w:t>Deutsche Kohortendaten KORA mit Baseline-Messungen vergleichbar zu Versorgungsdaten.</w:t>
      </w:r>
    </w:p>
    <w:p>
      <w:r>
        <w:rPr>
          <w:color w:val="5A7D3A"/>
          <w:sz w:val="18"/>
        </w:rPr>
        <w:t>https://pubmed.ncbi.nlm.nih.gov/42757908/</w:t>
      </w:r>
    </w:p>
    <w:p>
      <w:pPr>
        <w:pStyle w:val="Heading2"/>
      </w:pPr>
      <w:r>
        <w:t>GLP-1-RA und SGLT2i mit kombinierter Therapie senken Sterblichkeit nach VF-Ablation auf 40 %</w:t>
      </w:r>
    </w:p>
    <w:p>
      <w:r>
        <w:rPr>
          <w:i/>
          <w:color w:val="666666"/>
          <w:sz w:val="18"/>
        </w:rPr>
        <w:t>Ramadan A et al.  ·  Heart Rhythm  ·  17.09.2026  ·  PMID 42753998</w:t>
      </w:r>
    </w:p>
    <w:p>
      <w:r>
        <w:t>TriNetX-Datenbank 2018–2024: Vergleich von Glukagon-ähnlichem Peptid-1-Rezeptoragonist (GLP-1 RA), SGLT2-Inhibitor (SGLT2i) und Kombinationstherapie auf VF-Rezidiv und kardiovaskuläre Ergebnisse nach Katheter-Ablation.</w:t>
      </w:r>
    </w:p>
    <w:p>
      <w:r>
        <w:rPr>
          <w:b/>
        </w:rPr>
        <w:t xml:space="preserve">Ergebnis: </w:t>
      </w:r>
      <w:r>
        <w:t>Bei 1.393 Patienten pro Gruppe war VF-Rezidiv ähnlich unter GLP-1 RA vs. SGLT2i (HR 1,01; p=0,86). Kombinationstherapie vs. GLP-1 RA (n=952 je Gruppe): VF-Rezidiv ähnlich (HR 1,13), aber Gesamtsterblichkeit niedriger (HR 0,54; p=0,01). Kombinationstherapie vs. SGLT2i (n=1.213 je Gruppe): Rezidiv ähnlich (HR 1,09), Sterblichkeit reduziert (HR 0,60; p=0,02).</w:t>
      </w:r>
    </w:p>
    <w:p>
      <w:r>
        <w:rPr>
          <w:b/>
          <w:sz w:val="19"/>
        </w:rPr>
        <w:t xml:space="preserve">Übertragbarkeit: </w:t>
      </w:r>
      <w:r>
        <w:rPr>
          <w:sz w:val="19"/>
        </w:rPr>
        <w:t>USA-Datenbank TriNetX; Medikationsmuster übertragbar für Deutschland, aber VF-Ablations-Strategien unterscheiden sich regional.</w:t>
      </w:r>
    </w:p>
    <w:p>
      <w:r>
        <w:rPr>
          <w:color w:val="5A7D3A"/>
          <w:sz w:val="18"/>
        </w:rPr>
        <w:t>https://pubmed.ncbi.nlm.nih.gov/42753998/</w:t>
      </w:r>
    </w:p>
    <w:p>
      <w:pPr>
        <w:pStyle w:val="Heading2"/>
      </w:pPr>
      <w:r>
        <w:t>Persistente CRP-Erhöhung erhöht Herzinsuffizienz-Inzidenz um 34 % bei erhöhtem kardiovaskulärem Risiko</w:t>
      </w:r>
    </w:p>
    <w:p>
      <w:r>
        <w:rPr>
          <w:i/>
          <w:color w:val="666666"/>
          <w:sz w:val="18"/>
        </w:rPr>
        <w:t>Busti M et al.  ·  Int J Cardiol  ·  16.09.2026  ·  PMID 42749086</w:t>
      </w:r>
    </w:p>
    <w:p>
      <w:r>
        <w:t>Multizentrische elektronische Gesundheitsakte-Studie mit 64.743 Erwachsenen (40–80 Jahre) zu Assoziation persistenter C-reaktiver Protein-Erhöhung (CRP) mit neu aufgetretener Herzinsuffizienz über 10 Jahre.</w:t>
      </w:r>
    </w:p>
    <w:p>
      <w:r>
        <w:rPr>
          <w:b/>
        </w:rPr>
        <w:t xml:space="preserve">Ergebnis: </w:t>
      </w:r>
      <w:r>
        <w:t>Erhöhtes CRP (3,1–10,0 mg/L vs. 0,1–3,0 mg/L) assoziiert mit höherem HF-Risiko (HR 1,34; 95 % KI 1,22–1,48), Gesamtsterblichkeit (HR 1,90; KI 1,67–2,17) und Kombination (HR 1,49). Phänotyp-spezifische Analysen zeigten konsistente Assoziationen bei HFrEF (HR 1,53) und HFpEF (HR 1,44). Stärkerer Effekt bei Nicht-Adipösen.</w:t>
      </w:r>
    </w:p>
    <w:p>
      <w:r>
        <w:rPr>
          <w:b/>
          <w:sz w:val="19"/>
        </w:rPr>
        <w:t xml:space="preserve">Übertragbarkeit: </w:t>
      </w:r>
      <w:r>
        <w:rPr>
          <w:sz w:val="19"/>
        </w:rPr>
        <w:t>TriNetX-Netzwerk, Amerika und internationale Standorte; Inflammations-Biomarker-Assoziationen konzeptionell übertragbar, aber US-Datenschutz-Standards unterschiedlich.</w:t>
      </w:r>
    </w:p>
    <w:p>
      <w:r>
        <w:rPr>
          <w:color w:val="5A7D3A"/>
          <w:sz w:val="18"/>
        </w:rPr>
        <w:t>https://pubmed.ncbi.nlm.nih.gov/42749086/</w:t>
      </w:r>
    </w:p>
    <w:p>
      <w:pPr>
        <w:pStyle w:val="Heading2"/>
      </w:pPr>
      <w:r>
        <w:t>Psychiatrische Störungen nach Trauma als Herz-Kreislauf-Risiko: dänische Registerstudie</w:t>
      </w:r>
    </w:p>
    <w:p>
      <w:r>
        <w:rPr>
          <w:i/>
          <w:color w:val="666666"/>
          <w:sz w:val="18"/>
        </w:rPr>
        <w:t>Sumner JA et al.  ·  J Am Heart Assoc  ·  15.09.2026  ·  PMID 42684053</w:t>
      </w:r>
    </w:p>
    <w:p>
      <w:r>
        <w:t>Populationsbasierte Fallkontroll-Studie zu psychischen Folgeerkrankungen nach Traumaexposition und Risiko für Major Adverse Cardiac and Cerebrovascular Events (MACCE).</w:t>
      </w:r>
    </w:p>
    <w:p>
      <w:r>
        <w:rPr>
          <w:b/>
        </w:rPr>
        <w:t xml:space="preserve">Ergebnis: </w:t>
      </w:r>
      <w:r>
        <w:t>Unter 43.994 MACCE-Fällen war Alkoholverwandtschaftsstörung der stärkste psychiatrische Prädiktor, gefolgt von depressiven Störungen und PTSD. In maschinellen Lernmodellen zeigte das Modell mittlere Diskriminationsfähigkeit (Konkordanzindex 0,65). Depressionen waren bei Frauen stärker assoziiert als bei Männern. Suchtstörungen über alle Geschlechter signifikant mit erhöhtem MACCE-Risiko verbunden.</w:t>
      </w:r>
    </w:p>
    <w:p>
      <w:r>
        <w:rPr>
          <w:b/>
          <w:sz w:val="19"/>
        </w:rPr>
        <w:t xml:space="preserve">Übertragbarkeit: </w:t>
      </w:r>
      <w:r>
        <w:rPr>
          <w:sz w:val="19"/>
        </w:rPr>
        <w:t>Dänisches Universalregister 1995–2021, ähnliches Gesundheitssystem wie Deutschland.</w:t>
      </w:r>
    </w:p>
    <w:p>
      <w:r>
        <w:rPr>
          <w:color w:val="5A7D3A"/>
          <w:sz w:val="18"/>
        </w:rPr>
        <w:t>https://pubmed.ncbi.nlm.nih.gov/42684053/</w:t>
      </w:r>
    </w:p>
    <w:p>
      <w:pPr>
        <w:pStyle w:val="Heading1"/>
      </w:pPr>
      <w:r>
        <w:t>Aufgenommen am 19.09.2026</w:t>
      </w:r>
    </w:p>
    <w:p>
      <w:pPr>
        <w:pStyle w:val="Heading2"/>
      </w:pPr>
      <w:r>
        <w:t>Epicardiales Fett bei Vorhofflimmern: Biomarker für Rezidivrisiko</w:t>
      </w:r>
    </w:p>
    <w:p>
      <w:r>
        <w:rPr>
          <w:i/>
          <w:color w:val="666666"/>
          <w:sz w:val="18"/>
        </w:rPr>
        <w:t>Erhard N et al.  ·  Heart Rhythm  ·  18.09.2026  ·  PMID 42759859</w:t>
      </w:r>
    </w:p>
    <w:p>
      <w:r>
        <w:t>Die Studie quantifizierte mit Photon-Counting-CT das epikardiale Fettgewebe beider Vorhöfe vor Ablation bei 210 Patienten mit paroxysmaler und persistierender AF und verfolgte die Arrhythmie-Freiheit nach 12 Monaten.</w:t>
      </w:r>
    </w:p>
    <w:p>
      <w:r>
        <w:rPr>
          <w:b/>
        </w:rPr>
        <w:t xml:space="preserve">Ergebnis: </w:t>
      </w:r>
      <w:r>
        <w:t>Im linken Vorhof korrelierte ein höheres epikardiales Fettvolumen mit Rezidiven bei persistierender AF (HR 1,51 pro 10 mL Zunahme; 95%-KI 1,06–2,15), nicht jedoch bei paroxysmaler AF (HR 0,79; p für Interaktion = 0,014). Die Arrhythmie-Freiheit betrug 81,9 % bei paroxysmaler und 57,3 % bei persistierender AF (p = 0,005). Diese Biomarker-Stratifikation könnte zukünftig die Patientenauswahl und Nachsorge lenken.</w:t>
      </w:r>
    </w:p>
    <w:p>
      <w:r>
        <w:rPr>
          <w:b/>
          <w:sz w:val="19"/>
        </w:rPr>
        <w:t xml:space="preserve">Übertragbarkeit: </w:t>
      </w:r>
      <w:r>
        <w:rPr>
          <w:sz w:val="19"/>
        </w:rPr>
        <w:t>Deutsches Zentrum für Herz-Kreislauf-Forschung, prospektive klinische Studie mit standardisierter CT-Bildgebung</w:t>
      </w:r>
    </w:p>
    <w:p>
      <w:r>
        <w:rPr>
          <w:color w:val="5A7D3A"/>
          <w:sz w:val="18"/>
        </w:rPr>
        <w:t>https://pubmed.ncbi.nlm.nih.gov/42759859/</w:t>
      </w:r>
    </w:p>
    <w:p>
      <w:pPr>
        <w:pStyle w:val="Heading2"/>
      </w:pPr>
      <w:r>
        <w:t>Neutrophil-Lymphozyten-Verhältnis bei Herzinsuffizienz: SGLT2-Hemmer wirken unabhängig davon</w:t>
      </w:r>
    </w:p>
    <w:p>
      <w:r>
        <w:rPr>
          <w:i/>
          <w:color w:val="666666"/>
          <w:sz w:val="18"/>
        </w:rPr>
        <w:t>Pellicori P et al.  ·  ESC Heart Fail  ·  18.09.2026  ·  PMID 42759496</w:t>
      </w:r>
    </w:p>
    <w:p>
      <w:r>
        <w:t>Post-hoc-Analyse der EMPEROR-Pooled-Datenbank (9.706 Patienten mit CHF) untersuchte das Neutrophil-Lymphozyten-Verhältnis (NLR) als Marker für Inflammation und Stauung und die Effektivität von Empagliflozin nach Quintilen.</w:t>
      </w:r>
    </w:p>
    <w:p>
      <w:r>
        <w:rPr>
          <w:b/>
        </w:rPr>
        <w:t xml:space="preserve">Ergebnis: </w:t>
      </w:r>
      <w:r>
        <w:t>Höchstes NLR-Quintil (vs. niedrigstes) zeigte 27,3 % vs. 14,9 % Primärereignisse (HF-Hospitalisierung oder kardiovaskulärer Tod; adjustierte HR 1,44; 95%-KI 1,16–1,80; p = 0,001). Empagliflozin reduzierte die Primärendpunkte konsistent über alle NLR-Gruppen hinweg, und der Wirkmechanismus war vom NLR-Ausgangswert unabhängig.</w:t>
      </w:r>
    </w:p>
    <w:p>
      <w:r>
        <w:rPr>
          <w:b/>
          <w:sz w:val="19"/>
        </w:rPr>
        <w:t xml:space="preserve">Übertragbarkeit: </w:t>
      </w:r>
      <w:r>
        <w:rPr>
          <w:sz w:val="19"/>
        </w:rPr>
        <w:t>Multinationale Studie, europäische SGLT2i-Leitlinien-Therapie, stratifizierte Effektivität relevant</w:t>
      </w:r>
    </w:p>
    <w:p>
      <w:r>
        <w:rPr>
          <w:color w:val="5A7D3A"/>
          <w:sz w:val="18"/>
        </w:rPr>
        <w:t>https://pubmed.ncbi.nlm.nih.gov/42759496/</w:t>
      </w:r>
    </w:p>
    <w:p>
      <w:pPr>
        <w:pStyle w:val="Heading2"/>
      </w:pPr>
      <w:r>
        <w:t>Frührhythmuskontrollen bei Vorhofflimmern und Krebsgeschichte: EAST-AFNET-4-Subgruppe</w:t>
      </w:r>
    </w:p>
    <w:p>
      <w:r>
        <w:rPr>
          <w:i/>
          <w:color w:val="666666"/>
          <w:sz w:val="18"/>
        </w:rPr>
        <w:t>Ismaili D et al.  ·  Europace  ·  18.09.2026  ·  PMID 42758310</w:t>
      </w:r>
    </w:p>
    <w:p>
      <w:r>
        <w:t>Sekundäranalyse der EAST-AFNET-4-Studie verglich 216 Patienten mit Krebsgeschichte (7,8 %) gegen 2.563 ohne Krebs bezüglich Nutzen und Sicherheit einer frühen Rhythmuskontrolle.</w:t>
      </w:r>
    </w:p>
    <w:p>
      <w:r>
        <w:rPr>
          <w:b/>
        </w:rPr>
        <w:t xml:space="preserve">Ergebnis: </w:t>
      </w:r>
      <w:r>
        <w:t>Frühe Rhythmuskontrolle reduzierte die Primärendpunkte (kardiovaskulärer Tod, Schlaganfall, HF- oder Herzinfarkt-Hospitalisierung) unabhängig von Krebsgeschichte (p Interaktion = 0,23), mit 84,9 % vs. 81,8 % Sinusrhythmus nach 24 Monaten. Ein Signal für mehr Sicherheitsereignisse unter Rhythmuskontrolle bei Krebspatienten (31 % vs. 20 %; p Interaktion = 0,055) warnt vor zusätzlichen Schäden in dieser Subgruppe.</w:t>
      </w:r>
    </w:p>
    <w:p>
      <w:r>
        <w:rPr>
          <w:b/>
          <w:sz w:val="19"/>
        </w:rPr>
        <w:t xml:space="preserve">Übertragbarkeit: </w:t>
      </w:r>
      <w:r>
        <w:rPr>
          <w:sz w:val="19"/>
        </w:rPr>
        <w:t>EAST-AFNET-4: multinationales europäisches Netzwerk, deutsche Leitzentren, richtlinienstabilisierend</w:t>
      </w:r>
    </w:p>
    <w:p>
      <w:r>
        <w:rPr>
          <w:color w:val="5A7D3A"/>
          <w:sz w:val="18"/>
        </w:rPr>
        <w:t>https://pubmed.ncbi.nlm.nih.gov/42758310/</w:t>
      </w:r>
    </w:p>
    <w:p>
      <w:pPr>
        <w:pStyle w:val="Heading2"/>
      </w:pPr>
      <w:r>
        <w:t>Vorhofflimmern-Screening: Intensiveres Monitoring findet mehr Fälle, besonders bei älteren Patienten</w:t>
      </w:r>
    </w:p>
    <w:p>
      <w:r>
        <w:rPr>
          <w:i/>
          <w:color w:val="666666"/>
          <w:sz w:val="18"/>
        </w:rPr>
        <w:t>Xing LY et al.  ·  Europace  ·  18.09.2026  ·  PMID 42758309</w:t>
      </w:r>
    </w:p>
    <w:p>
      <w:r>
        <w:t>Individual-Participant-Data-Metaanalyse von 34.165 gescreenten Personen (AFFECT-EU/AF-SCREEN) verglich die Detektionsquote nach Screening-Methode und Patientenmerkmalen.</w:t>
      </w:r>
    </w:p>
    <w:p>
      <w:r>
        <w:rPr>
          <w:b/>
        </w:rPr>
        <w:t xml:space="preserve">Ergebnis: </w:t>
      </w:r>
      <w:r>
        <w:t>Die Diagnose-Quote stieg mit Screening-Intensität: Einzelnes Zeitfenster 0,83 %, intermittierendes Monitoring 5,06 %, kurzfristiges Monitoring ≤30 Tage 4,81 %, langfristiges &gt;30 Tage 30,39 %. Hohes Alter, männliches Geschlecht, Hypertonie und Herzinsuffizienz waren unabhängig mit AF-Detektion assoziiert; diese Faktoren beeinflussten das Screening-Ergebnis am meisten bei Einzelzeitpunkt-Screening.</w:t>
      </w:r>
    </w:p>
    <w:p>
      <w:r>
        <w:rPr>
          <w:b/>
          <w:sz w:val="19"/>
        </w:rPr>
        <w:t xml:space="preserve">Übertragbarkeit: </w:t>
      </w:r>
      <w:r>
        <w:rPr>
          <w:sz w:val="19"/>
        </w:rPr>
        <w:t>Europäische und nordamerikanische Kohorten, vergleichbar mit deutschen Screening-Programmen</w:t>
      </w:r>
    </w:p>
    <w:p>
      <w:r>
        <w:rPr>
          <w:color w:val="5A7D3A"/>
          <w:sz w:val="18"/>
        </w:rPr>
        <w:t>https://pubmed.ncbi.nlm.nih.gov/42758309/</w:t>
      </w:r>
    </w:p>
    <w:p>
      <w:pPr>
        <w:pStyle w:val="Heading2"/>
      </w:pPr>
      <w:r>
        <w:t>Herzinsuffizienz-Hospitalisierung: Mortalität 30 Tage relativ stabil, aber Ungleichheiten wachsen</w:t>
      </w:r>
    </w:p>
    <w:p>
      <w:r>
        <w:rPr>
          <w:i/>
          <w:color w:val="666666"/>
          <w:sz w:val="18"/>
        </w:rPr>
        <w:t>Usman MS et al.  ·  JACC Heart Fail  ·  16.09.2026  ·  PMID 42758064</w:t>
      </w:r>
    </w:p>
    <w:p>
      <w:r>
        <w:t>Retrospektive Kohortenstudie (Medicare 2016–2022, 4.957.054 HF-Hospitalisierungen) analysierte Trends in 30-Tages-Mortalität, Wiederaufnahme und Tage zu Hause (alive and out-of-facility).</w:t>
      </w:r>
    </w:p>
    <w:p>
      <w:r>
        <w:rPr>
          <w:b/>
        </w:rPr>
        <w:t xml:space="preserve">Ergebnis: </w:t>
      </w:r>
      <w:r>
        <w:t>30-Tages-Mortalität sank vor der Pandemie (9,01 % auf 8,38 %), stieg 2020 (9,13 %) und fiel wieder 2022 (8,49 %). Männer hatten höhere Mortalität als Frauen; Weiße höher als Schwarze. Medicare-FFS-Beneficiäre hatten konsistent höhere Mortalität als Medicare Advantage (Lücke wuchs über Zeit). Wiederaufnahmequoten sanken prä-pandemisch, platauten 2020 und sanken wieder post-pandemisch (aRR 2022 vs. 2020: 0,96).</w:t>
      </w:r>
    </w:p>
    <w:p>
      <w:r>
        <w:rPr>
          <w:b/>
          <w:sz w:val="19"/>
        </w:rPr>
        <w:t xml:space="preserve">Übertragbarkeit: </w:t>
      </w:r>
      <w:r>
        <w:rPr>
          <w:sz w:val="19"/>
        </w:rPr>
        <w:t>USA-Medicare-System, nicht 1:1 übertragbar; aber Versorgungsungleichheiten relevant für deutsche DMP-Strukturen</w:t>
      </w:r>
    </w:p>
    <w:p>
      <w:r>
        <w:rPr>
          <w:color w:val="5A7D3A"/>
          <w:sz w:val="18"/>
        </w:rPr>
        <w:t>https://pubmed.ncbi.nlm.nih.gov/42758064/</w:t>
      </w:r>
    </w:p>
    <w:p>
      <w:pPr>
        <w:pStyle w:val="Heading2"/>
      </w:pPr>
      <w:r>
        <w:t>Chronische Herzinsuffizienz und LVAD: beeinträchtigte Hirnfunktion und neuronal-ischämische Marker</w:t>
      </w:r>
    </w:p>
    <w:p>
      <w:r>
        <w:rPr>
          <w:i/>
          <w:color w:val="666666"/>
          <w:sz w:val="18"/>
        </w:rPr>
        <w:t>Jungclaus MS et al.  ·  J Am Heart Assoc  ·  18.09.2026  ·  PMID 42757935</w:t>
      </w:r>
    </w:p>
    <w:p>
      <w:r>
        <w:t>Querschnittsstudie an 19 LVAD- und 13 Patienten mit fortgeschrittener CHF verglich kognitive Leistung, blutbasierte Neuronen-Biomarker (NfL, pTau181, GFAP) und Gehirn-PET-Metabolismus.</w:t>
      </w:r>
    </w:p>
    <w:p>
      <w:r>
        <w:rPr>
          <w:b/>
        </w:rPr>
        <w:t xml:space="preserve">Ergebnis: </w:t>
      </w:r>
      <w:r>
        <w:t>69 % aller Patienten zeigten kognitive Dysfunktion; Biomarker waren in beiden Gruppen erhöht (medianes NfL 45,7 pg/mL, pTau181 23,1 pg/mL, GFAP 191,3 pg/mL). LVAD-Patienten wiesen mehr Hypometabolismus-Volumen auf (1,03 mL vs. 0 mL bei CHF; p = 0,003). Dieser Multi-Modal-Befund deutet auf potenziell reversible zerebrovaskuläre Komplikationen hin, die bei LVAD-Patienten zu monitoren sind.</w:t>
      </w:r>
    </w:p>
    <w:p>
      <w:r>
        <w:rPr>
          <w:b/>
          <w:sz w:val="19"/>
        </w:rPr>
        <w:t xml:space="preserve">Übertragbarkeit: </w:t>
      </w:r>
      <w:r>
        <w:rPr>
          <w:sz w:val="19"/>
        </w:rPr>
        <w:t>Deutsche Spezialkliniken erfassen ähnliche Komplikationen, Grundlage für strukturierte Überwachung</w:t>
      </w:r>
    </w:p>
    <w:p>
      <w:r>
        <w:rPr>
          <w:color w:val="5A7D3A"/>
          <w:sz w:val="18"/>
        </w:rPr>
        <w:t>https://pubmed.ncbi.nlm.nih.gov/42757935/</w:t>
      </w:r>
    </w:p>
    <w:p>
      <w:pPr>
        <w:pStyle w:val="Heading1"/>
      </w:pPr>
      <w:r>
        <w:t>Aufgenommen am 18.09.2026</w:t>
      </w:r>
    </w:p>
    <w:p>
      <w:pPr>
        <w:pStyle w:val="Heading2"/>
      </w:pPr>
      <w:r>
        <w:t>Linksatriale Dehnung zeigt NT-proBNP-Belastung bei fettleibigen HFpEF-Patienten an</w:t>
      </w:r>
    </w:p>
    <w:p>
      <w:r>
        <w:rPr>
          <w:i/>
          <w:color w:val="666666"/>
          <w:sz w:val="18"/>
        </w:rPr>
        <w:t>Mandoli GE et al.  ·  Int J Cardiol  ·  17.09.2026  ·  PMID 42754101</w:t>
      </w:r>
    </w:p>
    <w:p>
      <w:r>
        <w:t>Einzenter-Retrospektivstudie mit 118 adipösen Patienten (BMI ≥ 30 kg/m²) mit HFpEF untersuchte, ob globales Peak Atrial Longitudinal Strain (PALS) mit NT-proBNP und 6-Minuten-Gehtest assoziiert ist.</w:t>
      </w:r>
    </w:p>
    <w:p>
      <w:r>
        <w:rPr>
          <w:b/>
        </w:rPr>
        <w:t xml:space="preserve">Ergebnis: </w:t>
      </w:r>
      <w:r>
        <w:t>Medianes globales PALS war 23,0 % [17,3-30,8], E/e'-Ratio 10 [8-13]. Globales PALS war unabhängig und invers mit ln(NT-proBNP) assoziiert (β = -0,045; 95%-KI -0,070 bis -0,019; p &lt; 0,001). Atriale Steifheit war unabhängig mit ln(NT-proBNP) (β = 0,27; p = 0,014) und 6MWT (β = -9,3; p = 0,046) assoziiert. LA-Dehnung und Steifheit liefern komplementäre Informationen zur hämodynamischen Last bei adipösen HFpEF-Patienten.</w:t>
      </w:r>
    </w:p>
    <w:p>
      <w:r>
        <w:rPr>
          <w:b/>
          <w:sz w:val="19"/>
        </w:rPr>
        <w:t xml:space="preserve">Übertragbarkeit: </w:t>
      </w:r>
      <w:r>
        <w:rPr>
          <w:sz w:val="19"/>
        </w:rPr>
        <w:t>Italienische Universitätsklinik, Echokardiographie-Parameter für HFpEF-Phenotypisierung in Deutschland etabliert.</w:t>
      </w:r>
    </w:p>
    <w:p>
      <w:r>
        <w:rPr>
          <w:color w:val="5A7D3A"/>
          <w:sz w:val="18"/>
        </w:rPr>
        <w:t>https://pubmed.ncbi.nlm.nih.gov/42754101/</w:t>
      </w:r>
    </w:p>
    <w:p>
      <w:pPr>
        <w:pStyle w:val="Heading2"/>
      </w:pPr>
      <w:r>
        <w:t>RAISE-Score validiert Transthyretin-Amyloidose bei schwerer Aortenstenose im Katheterlabor nur mäßig</w:t>
      </w:r>
    </w:p>
    <w:p>
      <w:r>
        <w:rPr>
          <w:i/>
          <w:color w:val="666666"/>
          <w:sz w:val="18"/>
        </w:rPr>
        <w:t>Guerra ÁR et al.  ·  Int J Cardiol  ·  17.09.2026  ·  PMID 42754100</w:t>
      </w:r>
    </w:p>
    <w:p>
      <w:r>
        <w:t>Prospektive externe Validierung des RAISE-Scores zur Diagnose transthyretin-assoziierter kardialer Amyloidose (ATTR-CA) bei 340 Patienten mit schwerer AS zur TAVI.</w:t>
      </w:r>
    </w:p>
    <w:p>
      <w:r>
        <w:rPr>
          <w:b/>
        </w:rPr>
        <w:t xml:space="preserve">Ergebnis: </w:t>
      </w:r>
      <w:r>
        <w:t>ATTR-CA lag bei 4,1 % (14 Fälle) vor. ATTR-CA-Patienten waren älter (83,5 ± 6,7 vs. 79,1 ± 6,1 Jahre), zeigten mehr Pseudo-Infarkt-Muster (50 % vs. 10,3 %), niedrigere LVEF (50,1 ± 16,1 % vs. 62,4 ± 14,1 %) und schlechtere globale longitudinale Dehnung (-11,4 ± 5,8 vs. -18,3 ± 5,2). RAISE-Score ≥ 2 assoziierte mit höherer ATTR-CA-Prävalenz (7,2 % vs. 2,3 %; p = 0,044); AUC war 0,69 (p = 0,016). Der Score zeigt moderate Diskriminationsfähigkeit, deutlich niedriger als ursprünglich berichtet.</w:t>
      </w:r>
    </w:p>
    <w:p>
      <w:r>
        <w:rPr>
          <w:b/>
          <w:sz w:val="19"/>
        </w:rPr>
        <w:t xml:space="preserve">Übertragbarkeit: </w:t>
      </w:r>
      <w:r>
        <w:rPr>
          <w:sz w:val="19"/>
        </w:rPr>
        <w:t>Spanische prospektive Validierungsstudie, Erkenntnisse zum ATTR-CA-Screening bei AS in Europa relevant.</w:t>
      </w:r>
    </w:p>
    <w:p>
      <w:r>
        <w:rPr>
          <w:color w:val="5A7D3A"/>
          <w:sz w:val="18"/>
        </w:rPr>
        <w:t>https://pubmed.ncbi.nlm.nih.gov/42754100/</w:t>
      </w:r>
    </w:p>
    <w:p>
      <w:pPr>
        <w:pStyle w:val="Heading2"/>
      </w:pPr>
      <w:r>
        <w:t>Enge Kopplungsintervalle in ventrikulären Salven präsagen plötzlichen Herztod bei Hypertrophischer Kardiomyopathie</w:t>
      </w:r>
    </w:p>
    <w:p>
      <w:r>
        <w:rPr>
          <w:i/>
          <w:color w:val="666666"/>
          <w:sz w:val="18"/>
        </w:rPr>
        <w:t>Zhang Y et al.  ·  Europace  ·  02.09.2026  ·  PMID 42749293</w:t>
      </w:r>
    </w:p>
    <w:p>
      <w:r>
        <w:t>Retrospektive Multizenterstudie mit 2.625 HCM-Patienten untersuchte, ob Charakteristika von nicht-anhaltenden ventrikulären Tachykardien (NSVT) das Plötzlichen-Tod-Risiko stratifizieren.</w:t>
      </w:r>
    </w:p>
    <w:p>
      <w:r>
        <w:rPr>
          <w:b/>
        </w:rPr>
        <w:t xml:space="preserve">Ergebnis: </w:t>
      </w:r>
      <w:r>
        <w:t>In 320 Patienten (12,4 %) traten NSVT auf. Das zweite Kopplungsintervall war stärkster Prädiktor (optimaler Cut-off 394 ms). Ein Intervall &lt; 394 ms erhöhte das SCD-Risiko stark (HR 8,36; 95%-KI 4,33-16,12; p &lt; 0,001) gegenüber Abwesenheit von NSVT, während ≥ 394 ms nicht prognostisch war. Differenzierte NSVT-Analyse verbesserte SCD-Risikoalgorithmen und könnte ICD-Implantation-Entscheidungen optimieren.</w:t>
      </w:r>
    </w:p>
    <w:p>
      <w:r>
        <w:rPr>
          <w:b/>
          <w:sz w:val="19"/>
        </w:rPr>
        <w:t xml:space="preserve">Übertragbarkeit: </w:t>
      </w:r>
      <w:r>
        <w:rPr>
          <w:sz w:val="19"/>
        </w:rPr>
        <w:t>Chinesische Multizenterstudie, etablierte Erkenntnisse zur HCM-Risikostratifizierung bestätigt.</w:t>
      </w:r>
    </w:p>
    <w:p>
      <w:r>
        <w:rPr>
          <w:color w:val="5A7D3A"/>
          <w:sz w:val="18"/>
        </w:rPr>
        <w:t>https://pubmed.ncbi.nlm.nih.gov/42749293/</w:t>
      </w:r>
    </w:p>
    <w:p>
      <w:pPr>
        <w:pStyle w:val="Heading2"/>
      </w:pPr>
      <w:r>
        <w:t>Nodales Hub-Spoke-System reduziert Kardiogener-Schock-Mortalität durch Zentralisierung und Versorgungskoordination</w:t>
      </w:r>
    </w:p>
    <w:p>
      <w:r>
        <w:rPr>
          <w:i/>
          <w:color w:val="666666"/>
          <w:sz w:val="18"/>
        </w:rPr>
        <w:t>Samsky MD et al.  ·  Circ Heart Fail  ·  15.09.2026  ·  PMID 42743341</w:t>
      </w:r>
    </w:p>
    <w:p>
      <w:r>
        <w:t>Ein Expertenkonsensus-Artikel der American Heart Association fordert ein knotenpunktbasiertes regionales Versorgungssystem für kardiogenen Schock mit gestaffelten Hospitalsebenen, standardisierten Protokollen und strukturierter Verlegung.</w:t>
      </w:r>
    </w:p>
    <w:p>
      <w:r>
        <w:rPr>
          <w:b/>
        </w:rPr>
        <w:t xml:space="preserve">Ergebnis: </w:t>
      </w:r>
      <w:r>
        <w:t>Beobachtungsdaten deuten auf Assoziation zwischen strukturierter multidisziplinärer Versorgung, regionalen Netzwerken und konsistenterer Leistungserbringung hin; randomisierte Kausalbeweise fehlen noch. Ein für alle Ursachen und Schweregrade ausgelegtes nationales Registersystem wird empfohlen. Das System sollte Transport nach Schock-Phänotyp und Zielstrategie steuern, nicht nach Geografie; Erfolg sollte Timing, Outcomes und Chancengleichheit umfassen.</w:t>
      </w:r>
    </w:p>
    <w:p>
      <w:r>
        <w:rPr>
          <w:b/>
          <w:sz w:val="19"/>
        </w:rPr>
        <w:t xml:space="preserve">Übertragbarkeit: </w:t>
      </w:r>
      <w:r>
        <w:rPr>
          <w:sz w:val="19"/>
        </w:rPr>
        <w:t>USA-Konsensus für kardiale Versorgungsstrukturierung; Konzept der Zentralisierung und Netzwerkbildung auf deutsches DRG-System mit Herzzentren übertragbar.</w:t>
      </w:r>
    </w:p>
    <w:p>
      <w:r>
        <w:rPr>
          <w:color w:val="5A7D3A"/>
          <w:sz w:val="18"/>
        </w:rPr>
        <w:t>https://pubmed.ncbi.nlm.nih.gov/42743341/</w:t>
      </w:r>
    </w:p>
    <w:p>
      <w:pPr>
        <w:pStyle w:val="Heading2"/>
      </w:pPr>
      <w:r>
        <w:t>Diabetes erhöht Reinfarkt- und kardiales Scheitern nach PCI, OCT hilft nicht</w:t>
      </w:r>
    </w:p>
    <w:p>
      <w:r>
        <w:rPr>
          <w:i/>
          <w:color w:val="666666"/>
          <w:sz w:val="18"/>
        </w:rPr>
        <w:t>Gaede L et al.  ·  JACC Cardiovasc Interv  ·  14.09.2026  ·  PMID 42735969</w:t>
      </w:r>
    </w:p>
    <w:p>
      <w:r>
        <w:t>Die ILUMIEN-IV-Studie untersuchte, ob optische Kohärenztomographie (OCT) gegenüber Angiographie die Outcome-Raten bei 2.487 PCI-Patienten mit und ohne Diabetes über 2 Jahre verbessert.</w:t>
      </w:r>
    </w:p>
    <w:p>
      <w:r>
        <w:rPr>
          <w:b/>
        </w:rPr>
        <w:t xml:space="preserve">Ergebnis: </w:t>
      </w:r>
      <w:r>
        <w:t>Patienten mit Diabetes hatten höhere Target-Vessel-Failure-Raten (9,9 % vs. 6,3 %; adjustierte HR 1,48; p = 0,01) und schwerwiegende MACE (5,3 % vs. 2,7 %; adjustierte HR 1,77; p = 0,01) als Nicht-Diabetiker; OCT-Führung reduzierte weder TVF noch MACE in beiden Gruppen (p = 0,41 bzw. 0,20). Diabetes bleibt ein starker Prädiktor für Komplikationen nach PCI, unabhängig von Bildgebungstechnik.</w:t>
      </w:r>
    </w:p>
    <w:p>
      <w:r>
        <w:rPr>
          <w:b/>
          <w:sz w:val="19"/>
        </w:rPr>
        <w:t xml:space="preserve">Übertragbarkeit: </w:t>
      </w:r>
      <w:r>
        <w:rPr>
          <w:sz w:val="19"/>
        </w:rPr>
        <w:t>Multizentrische Studie mit europäischen Zentren, Ergebnisse auf DMP-KHK-Patienten übertragbar.</w:t>
      </w:r>
    </w:p>
    <w:p>
      <w:r>
        <w:rPr>
          <w:color w:val="5A7D3A"/>
          <w:sz w:val="18"/>
        </w:rPr>
        <w:t>https://pubmed.ncbi.nlm.nih.gov/42735969/</w:t>
      </w:r>
    </w:p>
    <w:p>
      <w:pPr>
        <w:pStyle w:val="Heading2"/>
      </w:pPr>
      <w:r>
        <w:t>Hochsensitives Troponin T übertrifft NT-proBNP bei Prädiktion der Sterblichkeit nach nicht-kardialem Eingriff</w:t>
      </w:r>
    </w:p>
    <w:p>
      <w:r>
        <w:rPr>
          <w:i/>
          <w:color w:val="666666"/>
          <w:sz w:val="18"/>
        </w:rPr>
        <w:t>Kirkopoulos A et al.  ·  J Am Heart Assoc  ·  15.09.2026  ·  PMID 42714475</w:t>
      </w:r>
    </w:p>
    <w:p>
      <w:r>
        <w:t>Sekundäranalyse der METREPAIR- und MINSS-Studien verglich die Vorhersageleistung von Hochsensitiv-Troponin T (hs-TnT) und NT-proBNP für 30-Tage-MACE und Mortalität nach Elektiveingriff ohne Herzerkrankung bei 2.251 Hochrisikopatienten.</w:t>
      </w:r>
    </w:p>
    <w:p>
      <w:r>
        <w:rPr>
          <w:b/>
        </w:rPr>
        <w:t xml:space="preserve">Ergebnis: </w:t>
      </w:r>
      <w:r>
        <w:t>MACE trat bei 5,8 % und Mortalität bei 1,6 % auf. Nur hs-TnT verbesserte die Diskrimination für Mortalität (AUC 0,680 vs. 0,674; Δ = 0,006; p = 0,047); praktischer Nutzen beider Biomarker über RCRI und Alter war limitiert. hs-TnT war NT-proBNP marginal überlegen.</w:t>
      </w:r>
    </w:p>
    <w:p>
      <w:r>
        <w:rPr>
          <w:b/>
          <w:sz w:val="19"/>
        </w:rPr>
        <w:t xml:space="preserve">Übertragbarkeit: </w:t>
      </w:r>
      <w:r>
        <w:rPr>
          <w:sz w:val="19"/>
        </w:rPr>
        <w:t>Europäische prospektive Multizenterstudie (Schweiz, Niederlande, Skandinavien), direkt auf deutsches Perioperativ-Management übertragbar.</w:t>
      </w:r>
    </w:p>
    <w:p>
      <w:r>
        <w:rPr>
          <w:color w:val="5A7D3A"/>
          <w:sz w:val="18"/>
        </w:rPr>
        <w:t>https://pubmed.ncbi.nlm.nih.gov/42714475/</w:t>
      </w:r>
    </w:p>
    <w:p>
      <w:pPr>
        <w:pStyle w:val="Heading1"/>
      </w:pPr>
      <w:r>
        <w:t>Aufgenommen am 17.09.2026</w:t>
      </w:r>
    </w:p>
    <w:p>
      <w:pPr>
        <w:pStyle w:val="Heading2"/>
      </w:pPr>
      <w:r>
        <w:t>Geh-Tempo ist stärkster Marker für Prognose nach Herzinfarkt in kardialer Rehabilitation älterer Patienten</w:t>
      </w:r>
    </w:p>
    <w:p>
      <w:r>
        <w:rPr>
          <w:i/>
          <w:color w:val="666666"/>
          <w:sz w:val="18"/>
        </w:rPr>
        <w:t>Raisi A et al.  ·  Eur J Prev Cardiol  ·  16.09.2026  ·  PMID 42748164</w:t>
      </w:r>
    </w:p>
    <w:p>
      <w:r>
        <w:t>Prespecified Subanalyse der PIpELINe-Studie an 512 Patienten ≥65 Jahre mit Herzinfarkt (mittlerer SPPB-Score 4–9): Multidomain-Rehabilitation versus Standardversorgung mit 1-Jahres-Nachsorge.</w:t>
      </w:r>
    </w:p>
    <w:p>
      <w:r>
        <w:rPr>
          <w:b/>
        </w:rPr>
        <w:t xml:space="preserve">Ergebnis: </w:t>
      </w:r>
      <w:r>
        <w:t>Primärer Endpunkt (kardiovaskulärer Tod/ungeplante kardiovaskuläre Hospitalisierung) bei niedrigerem SPPB signifikant häufiger (HR 0,51; 95%-KI 0,32–0,82). Gehgeschwindigkeit einzeln war stärkster Marker: 50 % Risikoreduktion pro 1-Punkt-Verbesserung (HR 0,50; 95%-KI 0,37–0,68; p&lt;0,001). Multidomain-Rehabilitation zeigte konsistenten Nutzen unabhängig von SPPB-Level.</w:t>
      </w:r>
    </w:p>
    <w:p>
      <w:r>
        <w:rPr>
          <w:b/>
          <w:sz w:val="19"/>
        </w:rPr>
        <w:t xml:space="preserve">Übertragbarkeit: </w:t>
      </w:r>
      <w:r>
        <w:rPr>
          <w:sz w:val="19"/>
        </w:rPr>
        <w:t>Italienisch-deutsche Versorgungsstudie; einfaches Screening-Tool für Rehabilitation in Deutschland anwendbar.</w:t>
      </w:r>
    </w:p>
    <w:p>
      <w:r>
        <w:rPr>
          <w:color w:val="5A7D3A"/>
          <w:sz w:val="18"/>
        </w:rPr>
        <w:t>https://pubmed.ncbi.nlm.nih.gov/42748164/</w:t>
      </w:r>
    </w:p>
    <w:p>
      <w:pPr>
        <w:pStyle w:val="Heading2"/>
      </w:pPr>
      <w:r>
        <w:t>NT-proBNP und LVEDP in HFpEF häufig diskordant; Mortalitätsrisiko erhöht nur bei Elevation beider Parameter</w:t>
      </w:r>
    </w:p>
    <w:p>
      <w:r>
        <w:rPr>
          <w:i/>
          <w:color w:val="666666"/>
          <w:sz w:val="18"/>
        </w:rPr>
        <w:t>Güder G et al.  ·  Heart  ·  15.09.2026  ·  PMID 42744605</w:t>
      </w:r>
    </w:p>
    <w:p>
      <w:r>
        <w:t>Prospektive Kohortenstudie an 514 Patienten mit vermuteter HFpEF: Blutentnahme auf NT-proBNP und invasive Messung des linksventrikulären enddiastolischen Drucks erfolgte bei Herzkatheteruntersuchung gleichzeitig.</w:t>
      </w:r>
    </w:p>
    <w:p>
      <w:r>
        <w:rPr>
          <w:b/>
        </w:rPr>
        <w:t xml:space="preserve">Ergebnis: </w:t>
      </w:r>
      <w:r>
        <w:t>Diskordanz zwischen NT-proBNP und LVEDP war häufig (42 %). Adjustierte Mortalität war erhöht bei isolierter NT-proBNP-Elevation (HR 2,26; 95%-KI 1,02–5,01) und bei Elevation beider Parameter (HR 3,33; 95%-KI 1,54–7,20), nicht aber bei isolierter LVEDP-Elevation (HR 1,34; 95%-KI 0,45–4,02). Dies unterstreicht, dass beide Parameter komplementäre Informationen liefern.</w:t>
      </w:r>
    </w:p>
    <w:p>
      <w:r>
        <w:rPr>
          <w:b/>
          <w:sz w:val="19"/>
        </w:rPr>
        <w:t xml:space="preserve">Übertragbarkeit: </w:t>
      </w:r>
      <w:r>
        <w:rPr>
          <w:sz w:val="19"/>
        </w:rPr>
        <w:t>Deutsche Universitätskliniken; direkte invasive Diagnostik ändert Strategie bei vermuteter HFpEF.</w:t>
      </w:r>
    </w:p>
    <w:p>
      <w:r>
        <w:rPr>
          <w:color w:val="5A7D3A"/>
          <w:sz w:val="18"/>
        </w:rPr>
        <w:t>https://pubmed.ncbi.nlm.nih.gov/42744605/</w:t>
      </w:r>
    </w:p>
    <w:p>
      <w:pPr>
        <w:pStyle w:val="Heading2"/>
      </w:pPr>
      <w:r>
        <w:t>Blutkultur-Epidemiologie weist auf Lücken in Endokarditis-Screening hin: Risiko unterschätzt bei Gruppierung seltener Spezies</w:t>
      </w:r>
    </w:p>
    <w:p>
      <w:r>
        <w:rPr>
          <w:i/>
          <w:color w:val="666666"/>
          <w:sz w:val="18"/>
        </w:rPr>
        <w:t>De Oliveira EK et al.  ·  Open Heart  ·  15.09.2026  ·  PMID 42744415</w:t>
      </w:r>
    </w:p>
    <w:p>
      <w:r>
        <w:t>Single-Center-Registerstudie (2015–2021) an 4.242 Patienten/3.708 Admission mit 4.939 Blutkultur-Infektionen: Erfassung aller BSI und Auswertung ihres Anteils an definierter Infektive Endokarditis und Echokardiographie-Screening-Raten.</w:t>
      </w:r>
    </w:p>
    <w:p>
      <w:r>
        <w:rPr>
          <w:b/>
        </w:rPr>
        <w:t xml:space="preserve">Ergebnis: </w:t>
      </w:r>
      <w:r>
        <w:t>IE-Prävalenz aller BSI 2,7 %. Höchste IE-Anteile bei seltenen Pathogenen: Streptococcus bovis 19,2 %, Listeria monocytogenes 16,7 %. Häufigere (Enterobacterales 48,3 %, Staph aureus 11,5 %) zeigten niedrigere IE-Raten. Patienten mit Implantat 5-fach höhere IE-Prävalenz. Echokardiographie-Screening 75 % für S. aureus, 27–59 % für andere Spezies ohne IE.</w:t>
      </w:r>
    </w:p>
    <w:p>
      <w:r>
        <w:rPr>
          <w:b/>
          <w:sz w:val="19"/>
        </w:rPr>
        <w:t xml:space="preserve">Übertragbarkeit: </w:t>
      </w:r>
      <w:r>
        <w:rPr>
          <w:sz w:val="19"/>
        </w:rPr>
        <w:t>Belgisch-italienisches Universitätsklinikum; Systematik auf deutsche Endokarditis-Screening-Protokolle anwendbar.</w:t>
      </w:r>
    </w:p>
    <w:p>
      <w:r>
        <w:rPr>
          <w:color w:val="5A7D3A"/>
          <w:sz w:val="18"/>
        </w:rPr>
        <w:t>https://pubmed.ncbi.nlm.nih.gov/42744415/</w:t>
      </w:r>
    </w:p>
    <w:p>
      <w:pPr>
        <w:pStyle w:val="Heading2"/>
      </w:pPr>
      <w:r>
        <w:t>Spezialisierte Krankenpfleger in Notaufnahme erzielen 92,7 % Genauigkeit beim Akutinfarkt-Screening</w:t>
      </w:r>
    </w:p>
    <w:p>
      <w:r>
        <w:rPr>
          <w:i/>
          <w:color w:val="666666"/>
          <w:sz w:val="18"/>
        </w:rPr>
        <w:t>Shaw C et al.  ·  Open Heart  ·  15.09.2026  ·  PMID 42744414</w:t>
      </w:r>
    </w:p>
    <w:p>
      <w:r>
        <w:t>Britischer Distrikt-Klinik-Evaluationsstudie an 233 Patienten: Vergleich zwischen Diagnosen von Cardiac-Outreach-Practitioners (Spezialkrankenpflegern) außerhalb normaler Geschäftszeiten und finalen Entlassungsdiagnosen durch Kardiologen.</w:t>
      </w:r>
    </w:p>
    <w:p>
      <w:r>
        <w:rPr>
          <w:b/>
        </w:rPr>
        <w:t xml:space="preserve">Ergebnis: </w:t>
      </w:r>
      <w:r>
        <w:t>Exakte diagnostische Konkordanz 92,7 % (216/233). Für akutes Koronarsyndrom: Sensitivität 96,0 %, Spezifität 92,4 %, negativ-prädiktiver Wert 98,0 %, Cohen κ = 0,858 (95%-KI 0,789–0,927). Von 17 diskordanten Fällen führte keine zu verzögerter Eskalation oder Diagnostik.</w:t>
      </w:r>
    </w:p>
    <w:p>
      <w:r>
        <w:rPr>
          <w:b/>
          <w:sz w:val="19"/>
        </w:rPr>
        <w:t xml:space="preserve">Übertragbarkeit: </w:t>
      </w:r>
      <w:r>
        <w:rPr>
          <w:sz w:val="19"/>
        </w:rPr>
        <w:t>UK National Health Service-Daten; Modell auf strukturierte Versorgungspfade in Deutschland anwendbar.</w:t>
      </w:r>
    </w:p>
    <w:p>
      <w:r>
        <w:rPr>
          <w:color w:val="5A7D3A"/>
          <w:sz w:val="18"/>
        </w:rPr>
        <w:t>https://pubmed.ncbi.nlm.nih.gov/42744414/</w:t>
      </w:r>
    </w:p>
    <w:p>
      <w:pPr>
        <w:pStyle w:val="Heading2"/>
      </w:pPr>
      <w:r>
        <w:t>Gen-Silencer Eplontersen wirksam nur ohne parallele TTR-Stabilisator-Therapie bei ATTR-Kardiomyopathie</w:t>
      </w:r>
    </w:p>
    <w:p>
      <w:r>
        <w:rPr>
          <w:i/>
          <w:color w:val="666666"/>
          <w:sz w:val="18"/>
        </w:rPr>
        <w:t>García-Pavía P et al.  ·  Nat Med  ·  30.08.2026  ·  PMID 42742182</w:t>
      </w:r>
    </w:p>
    <w:p>
      <w:r>
        <w:t>Präspezifizierte Sekundäranalyse der Phase-3-Studie CARDIO-TTRansform (n=1.432 ATTR-Kardiomyopathie-Patienten): Randomisierung zu Eplontersen oder Placebo; 57 % unter basaler TTR-Stabilisator-Therapie.</w:t>
      </w:r>
    </w:p>
    <w:p>
      <w:r>
        <w:rPr>
          <w:b/>
        </w:rPr>
        <w:t xml:space="preserve">Ergebnis: </w:t>
      </w:r>
      <w:r>
        <w:t>Primärer Endpunkt (kardiovaskulärer Tod oder rekurrente kardiovaskuläre Ereignisse) zeigte Behandlungs-Wechselwirkung nach Stabilisator-Status (P=0,017). Vorteil ohne Stabilisator (RR 0,71; 95%-KI 0,54–0,93; p=0,012), kein Vorteil mit Stabilisator (RR 1,14; 95%-KI 0,85–1,53; p=0,39). Sicherheitsprofil in beiden Gruppen günstig.</w:t>
      </w:r>
    </w:p>
    <w:p>
      <w:r>
        <w:rPr>
          <w:b/>
          <w:sz w:val="19"/>
        </w:rPr>
        <w:t xml:space="preserve">Übertragbarkeit: </w:t>
      </w:r>
      <w:r>
        <w:rPr>
          <w:sz w:val="19"/>
        </w:rPr>
        <w:t>Internationale Phase-3-Studie; Therapie in Deutschland verordnungsfähig, Ergebnis steuert Kombinationsentscheidungen.</w:t>
      </w:r>
    </w:p>
    <w:p>
      <w:r>
        <w:rPr>
          <w:color w:val="5A7D3A"/>
          <w:sz w:val="18"/>
        </w:rPr>
        <w:t>https://pubmed.ncbi.nlm.nih.gov/42742182/</w:t>
      </w:r>
    </w:p>
    <w:p>
      <w:pPr>
        <w:pStyle w:val="Heading2"/>
      </w:pPr>
      <w:r>
        <w:t>RBM20-Gain-of-Function-Varianten verschlechtern Mitochondrienfunktion und Herzinsuffizienz-Phänotyp</w:t>
      </w:r>
    </w:p>
    <w:p>
      <w:r>
        <w:rPr>
          <w:i/>
          <w:color w:val="666666"/>
          <w:sz w:val="18"/>
        </w:rPr>
        <w:t>Kornienko J et al.  ·  Circulation  ·  15.09.2026  ·  PMID 42741825</w:t>
      </w:r>
    </w:p>
    <w:p>
      <w:r>
        <w:t>Mechanistische Studie bei Mausmodellen mit RBM20-Varianten und humanen induzierten pluripotenten Stammzell-Kardiomyten: Untersuchung der Auswirkung auf Mitochondrial Respiration, Calcium-Handling und ultrastrukturelle Veränderungen.</w:t>
      </w:r>
    </w:p>
    <w:p>
      <w:r>
        <w:rPr>
          <w:b/>
        </w:rPr>
        <w:t xml:space="preserve">Ergebnis: </w:t>
      </w:r>
      <w:r>
        <w:t>RBM20 Gain-of-Function, nicht Loss-of-Function, senkte lösliche Mitochondrienproteine und das Kalzium-Efflux-Regulator TMEM65, führte zu vergrößerten Mitochondrien mit Cristae-Desorganisation, verminderter oxidativer Phosphorylierung und abnormaler Kalzium-Handling. Befunde in humanen Kardiomyten reproduziert.</w:t>
      </w:r>
    </w:p>
    <w:p>
      <w:r>
        <w:rPr>
          <w:b/>
          <w:sz w:val="19"/>
        </w:rPr>
        <w:t xml:space="preserve">Übertragbarkeit: </w:t>
      </w:r>
      <w:r>
        <w:rPr>
          <w:sz w:val="19"/>
        </w:rPr>
        <w:t>Deutsche DZHK-Zentren; Mechanismus erklärt aggressive HF-Phänotypen bei GoF-Varianten.</w:t>
      </w:r>
    </w:p>
    <w:p>
      <w:r>
        <w:rPr>
          <w:color w:val="5A7D3A"/>
          <w:sz w:val="18"/>
        </w:rPr>
        <w:t>https://pubmed.ncbi.nlm.nih.gov/42741825/</w:t>
      </w:r>
    </w:p>
    <w:p>
      <w:pPr>
        <w:pStyle w:val="Heading1"/>
      </w:pPr>
      <w:r>
        <w:t>Aufgenommen am 16.09.2026</w:t>
      </w:r>
    </w:p>
    <w:p>
      <w:pPr>
        <w:pStyle w:val="Heading2"/>
      </w:pPr>
      <w:r>
        <w:t>Künstliche Intelligenz und Herzmuskel-Phänotypen vorhersagen Myokardinfarkt-Risiko in der Langzeitbeobachtung</w:t>
      </w:r>
    </w:p>
    <w:p>
      <w:r>
        <w:rPr>
          <w:i/>
          <w:color w:val="666666"/>
          <w:sz w:val="18"/>
        </w:rPr>
        <w:t>Eur Heart J Cardiovasc Imaging  ·  2026  ·  PMID 42721291</w:t>
      </w:r>
    </w:p>
    <w:p>
      <w:r>
        <w:t>Post-hoc-Analyse der SCOT-HEART-Studie mit 1.736 Teilnehmern untersuchte, ob radiomische Phänotypen aus Herz-CTA das Langzeit-Risiko für Herzinfarkt (Median 8,6 Jahre Follow-up) vorhersagen über konventionelle Risikofaktoren hinaus.</w:t>
      </w:r>
    </w:p>
    <w:p>
      <w:r>
        <w:rPr>
          <w:b/>
        </w:rPr>
        <w:t xml:space="preserve">Ergebnis: </w:t>
      </w:r>
      <w:r>
        <w:t>82 von 1.736 Teilnehmern (4,7%) erlebten während Follow-up tödlichen oder nicht-tödlichen Myokardinfarkt. Radiomische Phänotypen waren assoziiert mit Alter, Geschlecht, Hypertension und Diabetes (p&lt;0,01). Integration radiomischer Merkmale in klinisches Modell verbesserte Diskrimination für zukünftige Myokardinfarkte (C-Index von 0,693 auf 0,722, Δ=0,029, p&lt;0,001) und Modell-Fit (Likelihood-Ratio-Test χ²=13,5, p=0,009).</w:t>
      </w:r>
    </w:p>
    <w:p>
      <w:r>
        <w:rPr>
          <w:b/>
          <w:sz w:val="19"/>
        </w:rPr>
        <w:t xml:space="preserve">Übertragbarkeit: </w:t>
      </w:r>
      <w:r>
        <w:rPr>
          <w:sz w:val="19"/>
        </w:rPr>
        <w:t>Schottische Studie, vergleichbare europäische Gesundheitssysteme.</w:t>
      </w:r>
    </w:p>
    <w:p>
      <w:r>
        <w:rPr>
          <w:color w:val="5A7D3A"/>
          <w:sz w:val="18"/>
        </w:rPr>
        <w:t>https://pubmed.ncbi.nlm.nih.gov/42721291/</w:t>
      </w:r>
    </w:p>
    <w:p>
      <w:pPr>
        <w:pStyle w:val="Heading2"/>
      </w:pPr>
      <w:r>
        <w:t>LMNA-Genotyp und Vorhofflimmern-Risiko in genetischer Kardiomyopathie</w:t>
      </w:r>
    </w:p>
    <w:p>
      <w:r>
        <w:rPr>
          <w:i/>
          <w:color w:val="666666"/>
          <w:sz w:val="18"/>
        </w:rPr>
        <w:t>Circ Heart Fail  ·  2026  ·  PMID 42717878</w:t>
      </w:r>
    </w:p>
    <w:p>
      <w:r>
        <w:t>Beobachtungsstudie von 3.117 Patienten mit genetischer dilatativer Kardiomyopathie (DCM) aus der SHaRe-Registry untersuchte Prävalenz, Inzidenz und Prognosebedeutung von Vorhofflimmern nach Genotyp.</w:t>
      </w:r>
    </w:p>
    <w:p>
      <w:r>
        <w:rPr>
          <w:b/>
        </w:rPr>
        <w:t xml:space="preserve">Ergebnis: </w:t>
      </w:r>
      <w:r>
        <w:t>Von 2.491 AF-freien Patienten mit Follow-up entwickelten 312 (12,5%) während eines Medians von 4,5 Jahren Vorhofflimmern. Kumulative AF-Prävalenz betrug 23,6%. LMNA zeigte die höchste AF-Inzidenz (7,6 pro 100 Patientenjahre) und kumulative AF-Prävalenz (56,7%) und war die einzige Genotyp-Variable unabhängig assoziiert mit inzidentem AF (HR 5,52, 95% KI 3,84-7,95; p&lt;0,001). TTN hatte AF-Inzidenz von 2,1 pro 100 Patientenjahre. AF war unabhängig assoziiert mit erhöhtem Risiko für kombiniertes Endpunkt (HR 1,58, 95% KI 1,29-1,94; p&lt;0,001) einschließlich Herzinsuffizienz, ventrikuläre Arrhythmien und Gesamtsterblichkeit.</w:t>
      </w:r>
    </w:p>
    <w:p>
      <w:r>
        <w:rPr>
          <w:b/>
          <w:sz w:val="19"/>
        </w:rPr>
        <w:t xml:space="preserve">Übertragbarkeit: </w:t>
      </w:r>
      <w:r>
        <w:rPr>
          <w:sz w:val="19"/>
        </w:rPr>
        <w:t>Internationale Studie mit niederländischen/europäischen Zentren, vergleichbar mit deutschen Versorgungssystemen.</w:t>
      </w:r>
    </w:p>
    <w:p>
      <w:r>
        <w:rPr>
          <w:color w:val="5A7D3A"/>
          <w:sz w:val="18"/>
        </w:rPr>
        <w:t>https://pubmed.ncbi.nlm.nih.gov/42717878/</w:t>
      </w:r>
    </w:p>
    <w:p>
      <w:pPr>
        <w:pStyle w:val="Heading1"/>
      </w:pPr>
      <w:r>
        <w:t>Aufgenommen am 15.09.2026</w:t>
      </w:r>
    </w:p>
    <w:p>
      <w:pPr>
        <w:pStyle w:val="Heading2"/>
      </w:pPr>
      <w:r>
        <w:t>Klinische Verwaltung des Herzinfarkts: Revaskularisierung, Sekundärprävention und Umgang mit Hochrisiko-Gruppen</w:t>
      </w:r>
    </w:p>
    <w:p>
      <w:r>
        <w:rPr>
          <w:i/>
          <w:color w:val="666666"/>
          <w:sz w:val="18"/>
        </w:rPr>
        <w:t>Landi A et al.  ·  Circulation  ·  15.09.2026  ·  PMID 42735223</w:t>
      </w:r>
    </w:p>
    <w:p>
      <w:r>
        <w:t>Konsens-Review der zeitgenössischen Verwaltung des Herzinfarkts mit Fokus auf diagnostische Rahmenbedingungen, Risikostratifizierung, Revaskularisierungsstrategien (Timing, komplette Revaskularisierung) und Sekundärprävention, einschließlich MI ohne obstruktive Koronararterienerkrankung.</w:t>
      </w:r>
    </w:p>
    <w:p>
      <w:r>
        <w:rPr>
          <w:b/>
        </w:rPr>
        <w:t xml:space="preserve">Ergebnis: </w:t>
      </w:r>
      <w:r>
        <w:t>Das Review fasst aktuelle Evidenz zusammen: Protokollierte sofortige Reperfusion durch pPCI oder Fibrinolyse (wenn pPCI nicht innerhalb 120 Min verfügbar) reduzierte Mortalität substanziell. Adjunktive Pharmakotherapie und Sekundärprävention sind kritisch. Über 370.000 Todesfälle pro Jahr in USA trotz Fortschritten; viele Patienten erleben Rezidiv-Ereignisse trotz Risikofaktor-Kontrolle, was neue Ansätze zur post-MI-Komplikations-Vorbeugung motiviert.</w:t>
      </w:r>
    </w:p>
    <w:p>
      <w:r>
        <w:rPr>
          <w:b/>
          <w:sz w:val="19"/>
        </w:rPr>
        <w:t xml:space="preserve">Übertragbarkeit: </w:t>
      </w:r>
      <w:r>
        <w:rPr>
          <w:sz w:val="19"/>
        </w:rPr>
        <w:t>Internationales Kardiologie-Review, klinische Standard-Verwaltung, praxis-orientiert für Deutsch-Versorgung.</w:t>
      </w:r>
    </w:p>
    <w:p>
      <w:r>
        <w:rPr>
          <w:color w:val="5A7D3A"/>
          <w:sz w:val="18"/>
        </w:rPr>
        <w:t>https://pubmed.ncbi.nlm.nih.gov/42735223/</w:t>
      </w:r>
    </w:p>
    <w:p>
      <w:pPr>
        <w:pStyle w:val="Heading2"/>
      </w:pPr>
      <w:r>
        <w:t>Arterielle Steifheit und LV-Dysfunktion erklären schlechte Lebensqualität vor Vorhofflimmern-Ablation</w:t>
      </w:r>
    </w:p>
    <w:p>
      <w:r>
        <w:rPr>
          <w:i/>
          <w:color w:val="666666"/>
          <w:sz w:val="18"/>
        </w:rPr>
        <w:t>Kruska M et al.  ·  Clin Res Cardiol  ·  14.09.2026  ·  PMID 42734670</w:t>
      </w:r>
    </w:p>
    <w:p>
      <w:r>
        <w:t>Deutsche prospektive Beobachtungsstudie mit 83 Patienten mit symptomatischem Vorhofflimmern zur Untersuchung von Gefäß- und Herzparametern als Determinanten der AFEQT-Lebensqualitäts-Scores vor Ablation.</w:t>
      </w:r>
    </w:p>
    <w:p>
      <w:r>
        <w:rPr>
          <w:b/>
        </w:rPr>
        <w:t xml:space="preserve">Ergebnis: </w:t>
      </w:r>
      <w:r>
        <w:t>Reduzierte Lebensqualität (mittlerer AFEQT 60±19) korrelierte stark mit höherer Gefäßsteifheit (r=-0,62, p&lt;0,001), erhöhtem zentralen systolischem Druck (r=-0,38, p&lt;0,001), LV-Auswurffraktion &lt;50% (r=-0,74, p&lt;0,001) und NT-proBNP (r=-0,38, p&lt;0,001). Diese Assoziationen deuten darauf hin, dass kardiovaskuläre Dysfunktion jenseits des Vorhofflimmerns die Symptome treibt.</w:t>
      </w:r>
    </w:p>
    <w:p>
      <w:r>
        <w:rPr>
          <w:b/>
          <w:sz w:val="19"/>
        </w:rPr>
        <w:t xml:space="preserve">Übertragbarkeit: </w:t>
      </w:r>
      <w:r>
        <w:rPr>
          <w:sz w:val="19"/>
        </w:rPr>
        <w:t>Deutsche Universitätsklinik-Daten, Ablationspatient*innen in der Regelversorgung repräsentativ.</w:t>
      </w:r>
    </w:p>
    <w:p>
      <w:r>
        <w:rPr>
          <w:color w:val="5A7D3A"/>
          <w:sz w:val="18"/>
        </w:rPr>
        <w:t>https://pubmed.ncbi.nlm.nih.gov/42734670/</w:t>
      </w:r>
    </w:p>
    <w:p>
      <w:pPr>
        <w:pStyle w:val="Heading2"/>
      </w:pPr>
      <w:r>
        <w:t>Nx3-Protein bei Herzinsuffizienz reduziert: Z-Scheiben-Struktur und Signalübertragung beeinträchtigt</w:t>
      </w:r>
    </w:p>
    <w:p>
      <w:r>
        <w:rPr>
          <w:i/>
          <w:color w:val="666666"/>
          <w:sz w:val="18"/>
        </w:rPr>
        <w:t>Linke WA et al.  ·  Circ Res  ·  10.09.2026  ·  PMID 42717863</w:t>
      </w:r>
    </w:p>
    <w:p>
      <w:r>
        <w:t>Grundlagenforschung mit Maus- und Humanmodellen zur Rolle des Z-Scheiben-Proteins Nx3 (novex-3), einem kleinen Titin-Isoform, in der Herzmuskel-Mechanik und Signalübertragung bei Herzinsuffizienz.</w:t>
      </w:r>
    </w:p>
    <w:p>
      <w:r>
        <w:rPr>
          <w:b/>
        </w:rPr>
        <w:t xml:space="preserve">Ergebnis: </w:t>
      </w:r>
      <w:r>
        <w:t>Nx3 macht 20-25% des Gesamt-Titin-Proteins aus. Genetische Ablation oder Reduktion beeinträchtigte Z-Scheiben-Organisation und mechanische Leistung. Bei dilatativer Kardiomyopathie im Endstadium war Nx3-Expression dysreguliert und reduziert (versus normal), mit fokalen Z-Scheiben-Störungen. Nx3 interagiert mit Pin1 und TBC1D4, die Stoffwechsel-Signalisierung regulieren. Das erklärt einen strukturellen und funktionellen Mechanismus von Herzinsuffizienzverschlechterung.</w:t>
      </w:r>
    </w:p>
    <w:p>
      <w:r>
        <w:rPr>
          <w:b/>
          <w:sz w:val="19"/>
        </w:rPr>
        <w:t xml:space="preserve">Übertragbarkeit: </w:t>
      </w:r>
      <w:r>
        <w:rPr>
          <w:sz w:val="19"/>
        </w:rPr>
        <w:t>Deutsche und europäische Grundlagenlabore, mechanistisches Fundament für zukünftige therapeutische Entwicklung.</w:t>
      </w:r>
    </w:p>
    <w:p>
      <w:r>
        <w:rPr>
          <w:color w:val="5A7D3A"/>
          <w:sz w:val="18"/>
        </w:rPr>
        <w:t>https://pubmed.ncbi.nlm.nih.gov/42717863/</w:t>
      </w:r>
    </w:p>
    <w:p>
      <w:pPr>
        <w:pStyle w:val="Heading2"/>
      </w:pPr>
      <w:r>
        <w:t>Niedrigeres Noradrenalin-Blutdruckziel bei kardiogenem Schock verbessert Nieren- und Sterblichkeitsergebnisse: NORshock-Studie Design</w:t>
      </w:r>
    </w:p>
    <w:p>
      <w:r>
        <w:rPr>
          <w:i/>
          <w:color w:val="666666"/>
          <w:sz w:val="18"/>
        </w:rPr>
        <w:t>Ten Berg S et al.  ·  EuroIntervention  ·  07.09.2026  ·  PMID 42703766</w:t>
      </w:r>
    </w:p>
    <w:p>
      <w:r>
        <w:t>Internationale, offene, multizentrische RCT mit geplant 776 Patienten mit Herzinfarkt-bedingtem kardiogenem Schock, die Noradrenalin mit Ziel-Mitteldruck 55 mmHg versus Standard 65 mmHg erhalten.</w:t>
      </w:r>
    </w:p>
    <w:p>
      <w:r>
        <w:rPr>
          <w:b/>
        </w:rPr>
        <w:t xml:space="preserve">Ergebnis: </w:t>
      </w:r>
      <w:r>
        <w:t>Primärer Endpunkt ist kombiniert: Gesamtmortalität und Nierenersatztherapie innerhalb 30 Tagen. Die Studie testet die Hypothese, dass permissive Hypotension mit weniger Noradrenalin die Standardbehandlung übertrifft und soll Belege für ein neueres Management kardiogener Schocks liefern.</w:t>
      </w:r>
    </w:p>
    <w:p>
      <w:r>
        <w:rPr>
          <w:b/>
          <w:sz w:val="19"/>
        </w:rPr>
        <w:t xml:space="preserve">Übertragbarkeit: </w:t>
      </w:r>
      <w:r>
        <w:rPr>
          <w:sz w:val="19"/>
        </w:rPr>
        <w:t>Europäisch-niederländische Kooperation, Versorgungsstandard-relevante Studie zu etablierter Notfall-Therapie.</w:t>
      </w:r>
    </w:p>
    <w:p>
      <w:r>
        <w:rPr>
          <w:color w:val="5A7D3A"/>
          <w:sz w:val="18"/>
        </w:rPr>
        <w:t>https://pubmed.ncbi.nlm.nih.gov/42703766/</w:t>
      </w:r>
    </w:p>
    <w:p>
      <w:pPr>
        <w:pStyle w:val="Heading2"/>
      </w:pPr>
      <w:r>
        <w:t>Persistierende Troponin-T-Erhöhung nach ACS sagt Herzinsuffizienz innerhalb eines Jahres voraus</w:t>
      </w:r>
    </w:p>
    <w:p>
      <w:r>
        <w:rPr>
          <w:i/>
          <w:color w:val="666666"/>
          <w:sz w:val="18"/>
        </w:rPr>
        <w:t>Erichsen PA et al.  ·  Int J Cardiol  ·  30.08.2026  ·  PMID 42669312</w:t>
      </w:r>
    </w:p>
    <w:p>
      <w:r>
        <w:t>Dänische Register-Kohortenstudie mit 26.835 Patienten ohne bekannte Herzinsuffizienz, die sich mit akutem Koronarsyndrom vorstellten und zwei Troponin-T-Messungen erhielten, zur Vorhersage von Herzinsuffizienzhospitalisierung.</w:t>
      </w:r>
    </w:p>
    <w:p>
      <w:r>
        <w:rPr>
          <w:b/>
        </w:rPr>
        <w:t xml:space="preserve">Ergebnis: </w:t>
      </w:r>
      <w:r>
        <w:t>Innerhalb von 30 Tagen entwickelten 4,2% der Patienten Herzinsuffizienz, zwischen Tag 31-365 weitere 2,8%. Patienten mit zwei normalen Troponinwerten hatten das niedrigste Risiko (0-30 Tage: 0,3%, Tag 31-365: 0,4%), während persistierende Troponinerhöhung das höchste Risiko zeigte (0-30 Tage: 6,6%, Tag 31-365: 4,3%). Höhere Peak-Troponinwerte korrelierten mit erhöhtem Herzinsuffizienzrisiko.</w:t>
      </w:r>
    </w:p>
    <w:p>
      <w:r>
        <w:rPr>
          <w:b/>
          <w:sz w:val="19"/>
        </w:rPr>
        <w:t xml:space="preserve">Übertragbarkeit: </w:t>
      </w:r>
      <w:r>
        <w:rPr>
          <w:sz w:val="19"/>
        </w:rPr>
        <w:t>Skandinavische Gesundheitsregisterdaten, Biomarker-Strategie auf deutsche Akut-Versorgung übertragbar.</w:t>
      </w:r>
    </w:p>
    <w:p>
      <w:r>
        <w:rPr>
          <w:color w:val="5A7D3A"/>
          <w:sz w:val="18"/>
        </w:rPr>
        <w:t>https://pubmed.ncbi.nlm.nih.gov/42669312/</w:t>
      </w:r>
    </w:p>
    <w:p>
      <w:pPr>
        <w:pStyle w:val="Heading2"/>
      </w:pPr>
      <w:r>
        <w:t>Catheter ablation für symptomatisches Vorhofflimmern zeigt keine Überlegenheit gegenüber Sham-Verfahren</w:t>
      </w:r>
    </w:p>
    <w:p>
      <w:r>
        <w:rPr>
          <w:i/>
          <w:color w:val="666666"/>
          <w:sz w:val="18"/>
        </w:rPr>
        <w:t>Wachter R et al.  ·  Lancet  ·  12.09.2026  ·  PMID 42669307</w:t>
      </w:r>
    </w:p>
    <w:p>
      <w:r>
        <w:t>Doppelblinde, randomisierte deutsche und polnische Studie mit 262 Patienten zur Frage, ob Katheterablation die Lebensqualität bei symptomatischem Vorhofflimmern besser verbessert als ein Schein-Verfahren.</w:t>
      </w:r>
    </w:p>
    <w:p>
      <w:r>
        <w:rPr>
          <w:b/>
        </w:rPr>
        <w:t xml:space="preserve">Ergebnis: </w:t>
      </w:r>
      <w:r>
        <w:t>Nach 6 Monaten zeigte die Katheterablation-Gruppe eine Verbesserung des AFEQT-Scores von 61,3 auf 81,1 Punkte, die Sham-Gruppe von 59,2 auf 74,9 Punkte. Der Unterschied zwischen den Gruppen betrug nur 2,6 Punkte (95% KI -2,7 bis 8,0; p=0,36), was statistisch nicht signifikant war. Ernsthafte, mit der Prozedur verbundene Nebenwirkungen traten bei 10 Patienten auf (6 Ablation, 4 Sham).</w:t>
      </w:r>
    </w:p>
    <w:p>
      <w:r>
        <w:rPr>
          <w:b/>
          <w:sz w:val="19"/>
        </w:rPr>
        <w:t xml:space="preserve">Übertragbarkeit: </w:t>
      </w:r>
      <w:r>
        <w:rPr>
          <w:sz w:val="19"/>
        </w:rPr>
        <w:t>Deutsche Multizenterstudie mit standardisierten Messinstrumenten, unmittelbar auf deutsche Versorgung übertragbar.</w:t>
      </w:r>
    </w:p>
    <w:p>
      <w:r>
        <w:rPr>
          <w:color w:val="5A7D3A"/>
          <w:sz w:val="18"/>
        </w:rPr>
        <w:t>https://pubmed.ncbi.nlm.nih.gov/42669307/</w:t>
      </w:r>
    </w:p>
    <w:p>
      <w:pPr>
        <w:pStyle w:val="Heading1"/>
      </w:pPr>
      <w:r>
        <w:t>Aufgenommen am 14.09.2026</w:t>
      </w:r>
    </w:p>
    <w:p>
      <w:pPr>
        <w:pStyle w:val="Heading2"/>
      </w:pPr>
      <w:r>
        <w:t>Adipositas verstärkt Herzinfarkt-Schaden durch gesteigerte myeloide TREM1-Expression</w:t>
      </w:r>
    </w:p>
    <w:p>
      <w:r>
        <w:rPr>
          <w:i/>
          <w:color w:val="666666"/>
          <w:sz w:val="18"/>
        </w:rPr>
        <w:t>Gladow N et al.  ·  Basic Res Cardiol  ·  11.09.2026  ·  PMID 42726202</w:t>
      </w:r>
    </w:p>
    <w:p>
      <w:r>
        <w:t>Experimentelle Studie an diätinduziert adipösen und schlanken Mäusen beiden Geschlechts zur Rolle von Myelopoiese und TREM1-Blockade nach experimentellem Herzinfarkt.</w:t>
      </w:r>
    </w:p>
    <w:p>
      <w:r>
        <w:rPr>
          <w:b/>
        </w:rPr>
        <w:t xml:space="preserve">Ergebnis: </w:t>
      </w:r>
      <w:r>
        <w:t>Adipöse Mäuse zeigten höhere Körpergewichte, signifikant erhöhte Myelopoiese in der Milz und höhere periphere Leukozyten als schlanke Weibchen. Überlebensvorteil bei schlanken Tieren: 56 Tage nach MI 87% Überleben vs. 58% bei adipösen (p&lt;0,05). Adipöse Mäuse: erhöhte infarkt-induzierte Myelopoiese, höhere Granulozyt-, Monozyten- und pro-inflammatorische Makrophagen-Zahl im Myokard. TREM1-Expression verstärkt bei adipösen Mäusen am Tag 5 nach MI (RNA-Sequenzierung und Immunohistologie). TREM1-Blockade führte zu signifikant besserer Erhaltung der systolischen Funktion bei adipösen Mäusen.</w:t>
      </w:r>
    </w:p>
    <w:p>
      <w:r>
        <w:rPr>
          <w:b/>
          <w:sz w:val="19"/>
        </w:rPr>
        <w:t xml:space="preserve">Übertragbarkeit: </w:t>
      </w:r>
      <w:r>
        <w:rPr>
          <w:sz w:val="19"/>
        </w:rPr>
        <w:t>Deutsche Grundlagenforschung (Würzburg), erkennbarer Weg zur Therapie (TREM1-Blockade)</w:t>
      </w:r>
    </w:p>
    <w:p>
      <w:r>
        <w:rPr>
          <w:color w:val="5A7D3A"/>
          <w:sz w:val="18"/>
        </w:rPr>
        <w:t>https://pubmed.ncbi.nlm.nih.gov/42726202/</w:t>
      </w:r>
    </w:p>
    <w:p>
      <w:pPr>
        <w:pStyle w:val="Heading2"/>
      </w:pPr>
      <w:r>
        <w:t>Geschlechtsspezifische Unterschiede bei akuter Herzinsuffizienz: Präsentation, Befunde und Genesung</w:t>
      </w:r>
    </w:p>
    <w:p>
      <w:r>
        <w:rPr>
          <w:i/>
          <w:color w:val="666666"/>
          <w:sz w:val="18"/>
        </w:rPr>
        <w:t>Khoraizat A et al.  ·  ESC Heart Fail  ·  09.09.2026  ·  PMID 42714581</w:t>
      </w:r>
    </w:p>
    <w:p>
      <w:r>
        <w:t>Prospektive observationsstudie zu Geschlechtsunterschieden in Klinik, Bildgebung und Kurzzeitverlauf bei 567 hospitalisierten Patienten mit akuter Herzinsuffizienz in Dänemark.</w:t>
      </w:r>
    </w:p>
    <w:p>
      <w:r>
        <w:rPr>
          <w:b/>
        </w:rPr>
        <w:t xml:space="preserve">Ergebnis: </w:t>
      </w:r>
      <w:r>
        <w:t>248 Frauen (43,7%) vs. 319 Männer, Durchschnittsalter 78,2±11,6 Jahre. Frauen älter, häufiger Vorhofflimmern (p&lt;0,05) und Hypertonie, Männer häufiger dyslipidämisch und mit Herzinfarkt-Anamnese. Frauen präsentierten häufiger mit Palpitationen/Ödemen, Männer mit Brustschmerz. Frauen: höhere LVEF (38% vs. 35%; p&lt;0,001), höhere GLS-Absolutwerte (10,5±4,7% vs. 9,7±4,4%; p=0,04), niedrigerer LV-Mass-Index (113 vs. 136 g/m²; p&lt;0,001). Männer höhere B-Linien-Zahl in Lungencsonografie (5 [1-12] vs. 2 [0-9]; p=0,003). Kurzzeitverlauf und 180-Tage-Ergebnisse vergleichbar zwischen Geschlechtern.</w:t>
      </w:r>
    </w:p>
    <w:p>
      <w:r>
        <w:rPr>
          <w:b/>
          <w:sz w:val="19"/>
        </w:rPr>
        <w:t xml:space="preserve">Übertragbarkeit: </w:t>
      </w:r>
      <w:r>
        <w:rPr>
          <w:sz w:val="19"/>
        </w:rPr>
        <w:t>Europäisches (dänisches) Gesundheitssystem, skandinavische Versorgungspraxis</w:t>
      </w:r>
    </w:p>
    <w:p>
      <w:r>
        <w:rPr>
          <w:color w:val="5A7D3A"/>
          <w:sz w:val="18"/>
        </w:rPr>
        <w:t>https://pubmed.ncbi.nlm.nih.gov/42714581/</w:t>
      </w:r>
    </w:p>
    <w:p>
      <w:pPr>
        <w:pStyle w:val="Heading2"/>
      </w:pPr>
      <w:r>
        <w:t>Genetische Varianten erhöhen Herzinsuffizienz-Risiko bei hypoplastischem Linksherz 9-fach</w:t>
      </w:r>
    </w:p>
    <w:p>
      <w:r>
        <w:rPr>
          <w:i/>
          <w:color w:val="666666"/>
          <w:sz w:val="18"/>
        </w:rPr>
        <w:t>Balint BN et al.  ·  J Am Coll Cardiol  ·  08.09.2026  ·  PMID 42714046</w:t>
      </w:r>
    </w:p>
    <w:p>
      <w:r>
        <w:t>Prospektive US-Multizenterstudie (Duke, UNC, Nationwide, Vanderbilt) zur Assoziation seltener Varianten in Kardiomyopathie-Genen mit früher Herzinsuffizienz-Entwicklung bei Neugeborenen mit hypoplastischem Linksherz.</w:t>
      </w:r>
    </w:p>
    <w:p>
      <w:r>
        <w:rPr>
          <w:b/>
        </w:rPr>
        <w:t xml:space="preserve">Ergebnis: </w:t>
      </w:r>
      <w:r>
        <w:t>35 Neugeborene prospektiv eingeschlossen: 7 (20%) entwickelten schwere HF, 10 (28,6%) medizinisch behandelte HF, 18 (51,4%) blieben HF-frei. Pathogene/wahrscheinlich pathogene Varianten assoziiert mit 9-fach erhöhtem Risiko für schwere HF (p=0,02). 67% der schweren HF-Ereignisse im ersten Lebensmonat. Externe Replikation an Nationwide Children's (11-fach erhöht; p&lt;0,05) und Vanderbilt (3-fach; p&lt;0,05). Ambispektive Kohorte (ältere Patienten) zeigten abgeschwächte Assoziationen (p&gt;0,05).</w:t>
      </w:r>
    </w:p>
    <w:p>
      <w:r>
        <w:rPr>
          <w:b/>
          <w:sz w:val="19"/>
        </w:rPr>
        <w:t xml:space="preserve">Übertragbarkeit: </w:t>
      </w:r>
      <w:r>
        <w:rPr>
          <w:sz w:val="19"/>
        </w:rPr>
        <w:t>USA-Studie, aber genetische Befunde universell; Risikostratifizierung prinzipiell auf Deutschland übertragbar</w:t>
      </w:r>
    </w:p>
    <w:p>
      <w:r>
        <w:rPr>
          <w:color w:val="5A7D3A"/>
          <w:sz w:val="18"/>
        </w:rPr>
        <w:t>https://pubmed.ncbi.nlm.nih.gov/42714046/</w:t>
      </w:r>
    </w:p>
    <w:p>
      <w:pPr>
        <w:pStyle w:val="Heading2"/>
      </w:pPr>
      <w:r>
        <w:t>Trikuspidalinsuffizienz in ATTR-Kardiomyopathie: Neue quantitative Prognosegrenzwerte</w:t>
      </w:r>
    </w:p>
    <w:p>
      <w:r>
        <w:rPr>
          <w:i/>
          <w:color w:val="666666"/>
          <w:sz w:val="18"/>
        </w:rPr>
        <w:t>Hauptmann L et al.  ·  JAMA Cardiol  ·  31.08.2026  ·  PMID 42671012</w:t>
      </w:r>
    </w:p>
    <w:p>
      <w:r>
        <w:t>Internationale multizentrische Kohortenstudie in Österreich, Italien, Deutschland und Niederlanden zur Ableitung krankheitsspezifischer Prognose-Schwellwerte für Trikuspidalinsuffizienz bei Transthyretin-Amyloid-Kardiomyopathie.</w:t>
      </w:r>
    </w:p>
    <w:p>
      <w:r>
        <w:rPr>
          <w:b/>
        </w:rPr>
        <w:t xml:space="preserve">Ergebnis: </w:t>
      </w:r>
      <w:r>
        <w:t>1124 Patienten (Derivation 745, Validation 379); 324/1124 Patienten (28,8%) starben, 251 (22,3%) hospitalisiert wegen Herzinsuffizienz über Mediann-Nachverfolgung von 25,2 Monaten. Neue Schwellwerte (VCW ≥5 mm, EROA ≥0,25 cm², RegVol ≥20 mL) identifizierten 334 Patienten (29,7%) mit hohem/extremen Risiko vs. 130 (11,6%) nach Leitliniendefinition. Hazard Ratio für Mortalität 1,41 (95%-KI 1,23-1,62) pro Stadium. Überlegene Diskriminierung gegenüber Standarddefinitionen.</w:t>
      </w:r>
    </w:p>
    <w:p>
      <w:r>
        <w:rPr>
          <w:b/>
          <w:sz w:val="19"/>
        </w:rPr>
        <w:t xml:space="preserve">Übertragbarkeit: </w:t>
      </w:r>
      <w:r>
        <w:rPr>
          <w:sz w:val="19"/>
        </w:rPr>
        <w:t>Europäische multizentrische Daten, vergleichbare Versorgungssysteme in D-A-CH</w:t>
      </w:r>
    </w:p>
    <w:p>
      <w:r>
        <w:rPr>
          <w:color w:val="5A7D3A"/>
          <w:sz w:val="18"/>
        </w:rPr>
        <w:t>https://pubmed.ncbi.nlm.nih.gov/42671012/</w:t>
      </w:r>
    </w:p>
    <w:p>
      <w:pPr>
        <w:pStyle w:val="Heading2"/>
      </w:pPr>
      <w:r>
        <w:t>Transkatheter-Trikuspidalklappnreparatur reduziert Sterblichkeit und Herzinsuffizienz-Hospitalisierung</w:t>
      </w:r>
    </w:p>
    <w:p>
      <w:r>
        <w:rPr>
          <w:i/>
          <w:color w:val="666666"/>
          <w:sz w:val="18"/>
        </w:rPr>
        <w:t>Hausleiter J et al.  ·  N Engl J Med  ·  30.08.2026  ·  PMID 42670975</w:t>
      </w:r>
    </w:p>
    <w:p>
      <w:r>
        <w:t>Randomisierte Studie zum Vergleich von transkatheter Trikuspidalklappnreparatur plus Standardtherapie gegen Standardtherapie allein bei schwerer Trikuspidalinsuffizienz in Deutschland und international.</w:t>
      </w:r>
    </w:p>
    <w:p>
      <w:r>
        <w:rPr>
          <w:b/>
        </w:rPr>
        <w:t xml:space="preserve">Ergebnis: </w:t>
      </w:r>
      <w:r>
        <w:t>Win-Ratio 2,42 (95%-KI 1,76-3,33; p&lt;0,001) für primären kombiniert Endpunkt nach 1 Jahr. Freiheit von Tod oder Herzinsuffizienz-Hospitalisierung über 3 Jahre: 52,4% vs. 21,0% (Hazard Ratio 0,40; 95%-KI 0,29-0,55; p&lt;0,001). Schwere unerwünschte Ereignisse innerhalb 30 Tage in 5,9% der Interventionsgruppe. Praxisveränderndes Ergebnis mit harten Endpunkten.</w:t>
      </w:r>
    </w:p>
    <w:p>
      <w:r>
        <w:rPr>
          <w:b/>
          <w:sz w:val="19"/>
        </w:rPr>
        <w:t xml:space="preserve">Übertragbarkeit: </w:t>
      </w:r>
      <w:r>
        <w:rPr>
          <w:sz w:val="19"/>
        </w:rPr>
        <w:t>Deutsche Studie, DZHK-finanziert, deutsches Patientenkollektiv, direkt übertragbar</w:t>
      </w:r>
    </w:p>
    <w:p>
      <w:r>
        <w:rPr>
          <w:color w:val="5A7D3A"/>
          <w:sz w:val="18"/>
        </w:rPr>
        <w:t>https://pubmed.ncbi.nlm.nih.gov/42670975/</w:t>
      </w:r>
    </w:p>
    <w:p>
      <w:pPr>
        <w:pStyle w:val="Heading2"/>
      </w:pPr>
      <w:r>
        <w:t>Zirkadianer Druck im Vorhof: Abendanstieg auch unter optimierter Diuretika-Therapie</w:t>
      </w:r>
    </w:p>
    <w:p>
      <w:r>
        <w:rPr>
          <w:i/>
          <w:color w:val="666666"/>
          <w:sz w:val="18"/>
        </w:rPr>
        <w:t>Amir Y et al.  ·  Eur J Heart Fail  ·  31.08.2026  ·  PMID 42670644</w:t>
      </w:r>
    </w:p>
    <w:p>
      <w:r>
        <w:t>Observationsstudie mit implantierbarem Drucksensor zu täglichen Schwankungen des linksatrialen Drucks bei ambulanten Herzinsuffizienz-Patienten über 25,5 Monate.</w:t>
      </w:r>
    </w:p>
    <w:p>
      <w:r>
        <w:rPr>
          <w:b/>
        </w:rPr>
        <w:t xml:space="preserve">Ergebnis: </w:t>
      </w:r>
      <w:r>
        <w:t>Über &gt;15.500 Messtage bei 73 Patienten: Medianer linksatrialer Druck abends 12,4 [6,8-18,3] mmHg vs. morgens 10,7 [5,5-17,3] mmHg (p&lt;0,01). Höhere Diuretika-Dosis oder Zweimal-Gabe modifizierte Rhythmus nicht (p=0,98 bzw. p=0,50). Patienten mit akuter Dekompensation zeigten höhere Drücke (14,3 [9,5-19,9] vs. 10,4 [5,4-17,3] mmHg; p&lt;0,01). LAP unabhängig mit erhöhtem Dekompensationsrisiko assoziiert (OR 1,40; 95%-KI 1,10-1,78; p&lt;0,01).</w:t>
      </w:r>
    </w:p>
    <w:p>
      <w:r>
        <w:rPr>
          <w:b/>
          <w:sz w:val="19"/>
        </w:rPr>
        <w:t xml:space="preserve">Übertragbarkeit: </w:t>
      </w:r>
      <w:r>
        <w:rPr>
          <w:sz w:val="19"/>
        </w:rPr>
        <w:t>Remote-Monitoring-Technologie, aber Zentren überregional; Dekompensationserkennung relevant für deutsches DMP</w:t>
      </w:r>
    </w:p>
    <w:p>
      <w:r>
        <w:rPr>
          <w:color w:val="5A7D3A"/>
          <w:sz w:val="18"/>
        </w:rPr>
        <w:t>https://pubmed.ncbi.nlm.nih.gov/42670644/</w:t>
      </w:r>
    </w:p>
    <w:p>
      <w:pPr>
        <w:pStyle w:val="Heading1"/>
      </w:pPr>
      <w:r>
        <w:t>Aufgenommen am 13.09.2026</w:t>
      </w:r>
    </w:p>
    <w:p>
      <w:pPr>
        <w:pStyle w:val="Heading2"/>
      </w:pPr>
      <w:r>
        <w:t>P2Y₁₂-Hemmer vor Angiografie: Weniger STEMI, aber auch weniger Blutungen bei längeren Wartezeiten</w:t>
      </w:r>
    </w:p>
    <w:p>
      <w:r>
        <w:rPr>
          <w:i/>
          <w:color w:val="666666"/>
          <w:sz w:val="18"/>
        </w:rPr>
        <w:t>Hesse K et al.  ·  Open Heart  ·  12.09.2026  ·  PMID 42731862</w:t>
      </w:r>
    </w:p>
    <w:p>
      <w:r>
        <w:t>Vergleich zweier Strategien bei NSTE-ACS: Routinemäßige Gabe eines P2Y₁₂-Hemmers vor Herzkatheter versus Zurückhaltung bis zur Anatomiekenntnis im britischen Versorgungssystem mit längeren Wartezeiten (Median 3,6 Tage).</w:t>
      </w:r>
    </w:p>
    <w:p>
      <w:r>
        <w:rPr>
          <w:b/>
        </w:rPr>
        <w:t xml:space="preserve">Ergebnis: </w:t>
      </w:r>
      <w:r>
        <w:t>Bei Verzicht auf Vorbehandlung: In-hospital-STEMI stieg von 0,4% auf 1,7% (adjustierte OR 4,40; 95%-KI 1,78–13,3), aber actionable Blutungsereignisse sanken von 0,9% auf 0,2% (adjustierte OR 0,18; 95%-KI 0,03–0,70). Längere Wartezeiten verändern das Nutzen-Risiko-Verhältnis gegenüber den Leitlinien, die auf kürzeren Katheterwartezeiten basieren.</w:t>
      </w:r>
    </w:p>
    <w:p>
      <w:r>
        <w:rPr>
          <w:b/>
          <w:sz w:val="19"/>
        </w:rPr>
        <w:t xml:space="preserve">Übertragbarkeit: </w:t>
      </w:r>
      <w:r>
        <w:rPr>
          <w:sz w:val="19"/>
        </w:rPr>
        <w:t>UK-Klinikdaten mit wesentlich längeren Wartezeiten als in Deutschland üblich.</w:t>
      </w:r>
    </w:p>
    <w:p>
      <w:r>
        <w:rPr>
          <w:color w:val="5A7D3A"/>
          <w:sz w:val="18"/>
        </w:rPr>
        <w:t>https://pubmed.ncbi.nlm.nih.gov/42731862/</w:t>
      </w:r>
    </w:p>
    <w:p>
      <w:pPr>
        <w:pStyle w:val="Heading2"/>
      </w:pPr>
      <w:r>
        <w:t>HFpEF-Risikoscores für Primärversorgung in HIV-Hochprävalenzregion anwendbar</w:t>
      </w:r>
    </w:p>
    <w:p>
      <w:r>
        <w:rPr>
          <w:i/>
          <w:color w:val="666666"/>
          <w:sz w:val="18"/>
        </w:rPr>
        <w:t>Honwana F et al.  ·  Open Heart  ·  12.09.2026  ·  PMID 42731860</w:t>
      </w:r>
    </w:p>
    <w:p>
      <w:r>
        <w:t>Entwicklung und interne Validierung eines nomogramm-basierten HFpEF-Vorhersage-Scores für die Primärversorgung in Südafrika unter Berücksichtigung HIV-Status, klinischer Faktoren, BNP und EKG.</w:t>
      </w:r>
    </w:p>
    <w:p>
      <w:r>
        <w:rPr>
          <w:b/>
        </w:rPr>
        <w:t xml:space="preserve">Ergebnis: </w:t>
      </w:r>
      <w:r>
        <w:t>Nomogramm mit Alter, Geschlecht, HIV-Status, Rauchen, Hypertonie, BMI und BNP: Overfitting-korrigierte AUC 0,77 mit guter Kalibrierung. Von 1.508 Teilnehmern (77% Frauen, 42% adipös) erfüllten 7,8% HFpEF-Kriterien (118 Patienten; 8,4% bei HIV-positiv, 6,6% HIV-negativ).</w:t>
      </w:r>
    </w:p>
    <w:p>
      <w:r>
        <w:rPr>
          <w:b/>
          <w:sz w:val="19"/>
        </w:rPr>
        <w:t xml:space="preserve">Übertragbarkeit: </w:t>
      </w:r>
      <w:r>
        <w:rPr>
          <w:sz w:val="19"/>
        </w:rPr>
        <w:t>Südafrika; Score als praktisches Werkzeug für ressourcenlimitierte Primärsettings adaptierbar.</w:t>
      </w:r>
    </w:p>
    <w:p>
      <w:r>
        <w:rPr>
          <w:color w:val="5A7D3A"/>
          <w:sz w:val="18"/>
        </w:rPr>
        <w:t>https://pubmed.ncbi.nlm.nih.gov/42731860/</w:t>
      </w:r>
    </w:p>
    <w:p>
      <w:pPr>
        <w:pStyle w:val="Heading2"/>
      </w:pPr>
      <w:r>
        <w:t>Ultraschnelle ambulante TAVI bei akutem aortalen Klappensyndrom spart Krankenhausbetten</w:t>
      </w:r>
    </w:p>
    <w:p>
      <w:r>
        <w:rPr>
          <w:i/>
          <w:color w:val="666666"/>
          <w:sz w:val="18"/>
        </w:rPr>
        <w:t>Vibhishanan J et al.  ·  Open Heart  ·  12.09.2026  ·  PMID 42731859</w:t>
      </w:r>
    </w:p>
    <w:p>
      <w:r>
        <w:t>Evaluierung eines neuen Versorgungspfads für ausgewählte, stabilisierte Patienten mit akutem aortalen Stenose-Syndroms (AVS) und geplantem TAVI-Einsatz: ambulante Vorbereitung mit Entlassung nach initialem Assessment vs. stationärer Weg in einer britischen Universitätsklinik.</w:t>
      </w:r>
    </w:p>
    <w:p>
      <w:r>
        <w:rPr>
          <w:b/>
        </w:rPr>
        <w:t xml:space="preserve">Ergebnis: </w:t>
      </w:r>
      <w:r>
        <w:t>Von 105 für den ambulanten Weg evaluierten Patienten wurden 58 (55,2%) ambulant und 47 (44,8%) stationär behandelt. Ambulante Gruppe: mediane Gesamtkrankenhaus-Liegedauer 12 Tage (IQR 7–17) vs. stationär 20 Tage (IQR 15–32; p&lt;0,0001), Einsparung von 210 Bettentagen. Zeit von Zuweisung bis TAVI unterschied sich nicht (ambulant 15 vs. stationär 14 Tage; p=0,22). Primärer Sicherheitsendpunkt (Tod oder akute Dekompensation vor TAVI) war gleich (ambulant 6,9% vs. stationär 6,4%; HR 0,97; 95%-KI 0,22–4,34; p=0,97).</w:t>
      </w:r>
    </w:p>
    <w:p>
      <w:r>
        <w:rPr>
          <w:b/>
          <w:sz w:val="19"/>
        </w:rPr>
        <w:t xml:space="preserve">Übertragbarkeit: </w:t>
      </w:r>
      <w:r>
        <w:rPr>
          <w:sz w:val="19"/>
        </w:rPr>
        <w:t>UK-Klinik; Konzept auf vergleichbare europäische Zentren übertragbar, bedarf Validierung.</w:t>
      </w:r>
    </w:p>
    <w:p>
      <w:r>
        <w:rPr>
          <w:color w:val="5A7D3A"/>
          <w:sz w:val="18"/>
        </w:rPr>
        <w:t>https://pubmed.ncbi.nlm.nih.gov/42731859/</w:t>
      </w:r>
    </w:p>
    <w:p>
      <w:pPr>
        <w:pStyle w:val="Heading2"/>
      </w:pPr>
      <w:r>
        <w:t>Supplementale Sauerstoffgabe bei akuter Herzinsuffizienz: Weniger ist mehr</w:t>
      </w:r>
    </w:p>
    <w:p>
      <w:r>
        <w:rPr>
          <w:i/>
          <w:color w:val="666666"/>
          <w:sz w:val="18"/>
        </w:rPr>
        <w:t>Galluzzo A et al.  ·  Eur Heart J Acute Cardiovasc Care  ·  08.09.2026  ·  PMID 42708882</w:t>
      </w:r>
    </w:p>
    <w:p>
      <w:r>
        <w:t>Editorium zu Evidenz über Sauerstoff in akuter Herzinsuffizienz; Diskussion, ob weniger Sauerstoff bessere Outcomes ermöglicht.</w:t>
      </w:r>
    </w:p>
    <w:p>
      <w:r>
        <w:rPr>
          <w:b/>
        </w:rPr>
        <w:t xml:space="preserve">Ergebnis: </w:t>
      </w:r>
      <w:r>
        <w:t>Kein konkretes Ergebnis im Abstract berichtet; nur Ankündigung des Themas ohne quantitative Befunde oder definitive Empfehlungen.</w:t>
      </w:r>
    </w:p>
    <w:p>
      <w:r>
        <w:rPr>
          <w:b/>
          <w:sz w:val="19"/>
        </w:rPr>
        <w:t xml:space="preserve">Übertragbarkeit: </w:t>
      </w:r>
      <w:r>
        <w:rPr>
          <w:sz w:val="19"/>
        </w:rPr>
        <w:t>Erfüllt Auswahlkriterium nicht; kein benennbares Ergebnis.</w:t>
      </w:r>
    </w:p>
    <w:p>
      <w:r>
        <w:rPr>
          <w:color w:val="5A7D3A"/>
          <w:sz w:val="18"/>
        </w:rPr>
        <w:t>https://pubmed.ncbi.nlm.nih.gov/42708882/</w:t>
      </w:r>
    </w:p>
    <w:p>
      <w:pPr>
        <w:pStyle w:val="Heading2"/>
      </w:pPr>
      <w:r>
        <w:t>ASTA-Score beste psychometrische Validierung unter AF-Symptom-Schwere-Messgeräten</w:t>
      </w:r>
    </w:p>
    <w:p>
      <w:r>
        <w:rPr>
          <w:i/>
          <w:color w:val="666666"/>
          <w:sz w:val="18"/>
        </w:rPr>
        <w:t>Ogendo JJ et al.  ·  Europace  ·  08.09.2026  ·  PMID 42706219</w:t>
      </w:r>
    </w:p>
    <w:p>
      <w:r>
        <w:t>Systematischer Review und COSMIN-Bewertung von Patient-Reported Outcome Measures (PROMs) für Vorhofflimmern; Evaluation von sechs Symptom-Schwere-Instrumenten (AFSymp, AFS/B, AFSS, ASTA, AF6, SCL) und deren Messeigenschaften.</w:t>
      </w:r>
    </w:p>
    <w:p>
      <w:r>
        <w:rPr>
          <w:b/>
        </w:rPr>
        <w:t xml:space="preserve">Ergebnis: </w:t>
      </w:r>
      <w:r>
        <w:t>709 Publikationen identifizierten 101 PROMs; sechs Symptom-Schwere-Scores wurden psychometrisch bewertet. ASTA zeigte die meiste Validierungseviden und größte Sicherheit bei Inhaltsvalidität sowie interne Konsistenz. COSMIN-Bewertungen enthüllten kritische Lücken in Responsiveness und kulturübergreifender Validität. Empfehlung: COSMIN-konforme Validierung aller PROMs vor Routineintegration in AF-Versorgung.</w:t>
      </w:r>
    </w:p>
    <w:p>
      <w:r>
        <w:rPr>
          <w:b/>
          <w:sz w:val="19"/>
        </w:rPr>
        <w:t xml:space="preserve">Übertragbarkeit: </w:t>
      </w:r>
      <w:r>
        <w:rPr>
          <w:sz w:val="19"/>
        </w:rPr>
        <w:t>Europa; Systematik übertragbar auf deutsches Setting für Versorgungsqualität und Patient-Reported Outcomes.</w:t>
      </w:r>
    </w:p>
    <w:p>
      <w:r>
        <w:rPr>
          <w:color w:val="5A7D3A"/>
          <w:sz w:val="18"/>
        </w:rPr>
        <w:t>https://pubmed.ncbi.nlm.nih.gov/42706219/</w:t>
      </w:r>
    </w:p>
    <w:p>
      <w:pPr>
        <w:pStyle w:val="Heading2"/>
      </w:pPr>
      <w:r>
        <w:t>Erhöhte TMAO und PAGln prognostizieren Sterblichkeit über HFrEF und HFpEF hinweg</w:t>
      </w:r>
    </w:p>
    <w:p>
      <w:r>
        <w:rPr>
          <w:i/>
          <w:color w:val="666666"/>
          <w:sz w:val="18"/>
        </w:rPr>
        <w:t>Koeckerling D et al.  ·  Eur J Heart Fail  ·  01.09.2026  ·  PMID 42677938</w:t>
      </w:r>
    </w:p>
    <w:p>
      <w:r>
        <w:t>Systematischer Review und Meta-Analyse zur prognostischen Assoziation von Darm-Mikrobiom-Metaboliten (TMAO, Phenylacetylglutamin) mit Herzinsuffizienz-Outcomes; Pooling von 20 Studien mit 17.715 Patienten.</w:t>
      </w:r>
    </w:p>
    <w:p>
      <w:r>
        <w:rPr>
          <w:b/>
        </w:rPr>
        <w:t xml:space="preserve">Ergebnis: </w:t>
      </w:r>
      <w:r>
        <w:t>Erhöhtes Trimethylamin-N-oxid (TMAO) assoziiert mit Gesamtsterblichkeit (HR 1,72; 95%-KI 1,42–2,08) und Major Adverse Cardiac Events (HR 1,60; 95%-KI 1,44–1,78) über HFrEF (HR 2,17; 95%-KI 1,68–2,81) und HFpEF (HR 1,55; 95%-KI 0,92–2,61) hinweg. Erhöhtes Phenylacetylglutamin (PAGln) ebenfalls mit Mortalität (HR 1,60; 95%-KI 1,33–1,94) und MACE (HR 1,65; 95%-KI 1,37–1,99) assoziiert. Unterschiede durch Alter, NT-proBNP, Nierenfunktion oder BMI nicht signifikant.</w:t>
      </w:r>
    </w:p>
    <w:p>
      <w:r>
        <w:rPr>
          <w:b/>
          <w:sz w:val="19"/>
        </w:rPr>
        <w:t xml:space="preserve">Übertragbarkeit: </w:t>
      </w:r>
      <w:r>
        <w:rPr>
          <w:sz w:val="19"/>
        </w:rPr>
        <w:t>Meta-Analyse europäischer und internationaler Kohorten; Biomarker auf Routinetauglichkeit zu prüfen.</w:t>
      </w:r>
    </w:p>
    <w:p>
      <w:r>
        <w:rPr>
          <w:color w:val="5A7D3A"/>
          <w:sz w:val="18"/>
        </w:rPr>
        <w:t>https://pubmed.ncbi.nlm.nih.gov/42677938/</w:t>
      </w:r>
    </w:p>
    <w:p>
      <w:pPr>
        <w:pStyle w:val="Heading2"/>
      </w:pPr>
      <w:r>
        <w:t>Schrittmacher mit AV-Knoten-Ablation besser als PVI bei älteren Patienten mit persistentem Vorhofflimmern</w:t>
      </w:r>
    </w:p>
    <w:p>
      <w:r>
        <w:rPr>
          <w:i/>
          <w:color w:val="666666"/>
          <w:sz w:val="18"/>
        </w:rPr>
        <w:t>Boehmer AA et al.  ·  Eur Heart J  ·  31.08.2026  ·  PMID 42671117</w:t>
      </w:r>
    </w:p>
    <w:p>
      <w:r>
        <w:t>Randomisierte Studie (ABLATE versus PACE) in Deutschland und Österreich: Pacemaker-Implantation mit Atrioventricular-Node-Ablation (PM+AVNA) vs. Pulmonalvenenisolation (PVI) bei älteren Patienten (≥75 Jahre) mit symptomatischem persistentem Vorhofflimmern.</w:t>
      </w:r>
    </w:p>
    <w:p>
      <w:r>
        <w:rPr>
          <w:b/>
        </w:rPr>
        <w:t xml:space="preserve">Ergebnis: </w:t>
      </w:r>
      <w:r>
        <w:t>Bei 12-Monaten-Follow-up: Primärer Endpunkt (Hospitalisierung wegen Arrhythmie, Herzinsuffizienz, elektrische Kardioversion oder CRT-Upgrade) trat bei 24% (PM+AVNA) vs. 46% (PVI) auf (Hazard Ratio 0,45; 95%-KI 0,27–0,74; p=0,002). PM+AVNA zeigte weniger AF-Hospitalisierungen und Kardioversionen, aber mehr HF-Hospitalisierungen. Mortalität und Lebensqualität unterschieden sich nicht.</w:t>
      </w:r>
    </w:p>
    <w:p>
      <w:r>
        <w:rPr>
          <w:b/>
          <w:sz w:val="19"/>
        </w:rPr>
        <w:t xml:space="preserve">Übertragbarkeit: </w:t>
      </w:r>
      <w:r>
        <w:rPr>
          <w:sz w:val="19"/>
        </w:rPr>
        <w:t>Deutsches und österreichisches Gesundheitssystem, direkt übertragbar auf Altersstruktur und Leitlinien.</w:t>
      </w:r>
    </w:p>
    <w:p>
      <w:r>
        <w:rPr>
          <w:color w:val="5A7D3A"/>
          <w:sz w:val="18"/>
        </w:rPr>
        <w:t>https://pubmed.ncbi.nlm.nih.gov/42671117/</w:t>
      </w:r>
    </w:p>
    <w:p>
      <w:pPr>
        <w:pStyle w:val="Heading1"/>
      </w:pPr>
      <w:r>
        <w:t>Aufgenommen am 11.09.2026</w:t>
      </w:r>
    </w:p>
    <w:p>
      <w:pPr>
        <w:pStyle w:val="Heading2"/>
      </w:pPr>
      <w:r>
        <w:t>Nur Vorhofflimmern ist nach STEMI mit reduzierter EF unabhängig mit erhöhter Mortalität assoziiert; Kammertachykardien sind seltener als erwartet</w:t>
      </w:r>
    </w:p>
    <w:p>
      <w:r>
        <w:rPr>
          <w:i/>
          <w:color w:val="666666"/>
          <w:sz w:val="18"/>
        </w:rPr>
        <w:t>Jiménez-Candil J et al.  ·  JACC Clin Electrophysiol  ·  26.08.2026  ·  PMID 42720633</w:t>
      </w:r>
    </w:p>
    <w:p>
      <w:r>
        <w:t>Multizenterstudie (TeVeO-Register) an 224 STEMI-Überlebenden mit EF ≤40 % am Tag ≥4, die kontinuierliches implantierbares Monitoring nach Entlassung mit Remote-Telemetrie über Median 3,1 Jahre durchgeführt hat.</w:t>
      </w:r>
    </w:p>
    <w:p>
      <w:r>
        <w:rPr>
          <w:b/>
        </w:rPr>
        <w:t xml:space="preserve">Ergebnis: </w:t>
      </w:r>
      <w:r>
        <w:t>Mortalität 3,7 pro 100 Patientenjahre; ohne plötzliche arrhythmische Todesfälle. Bei 6 Monaten ICD bei 25 (11 %) implantiert. Während Follow-up 119 (53 %) ≥1 ambulante Arrhythmie: 39 (17 %) Vorhofflimmern, 35 (16 %) NSVT, 33 (15 %) Pausen &gt;3 sec, 5 (2,2 %) nachgewiesene VT/ICD-Therapie. Nur Vorhofflimmern unabhängig mit erhöhter Mortalität assoziiert (adj. HR=2,5; p=0,04). NSVT-Inzidenz 5,4/100 PY, VT/ICD-Therapie 0,9/100 PY.</w:t>
      </w:r>
    </w:p>
    <w:p>
      <w:r>
        <w:rPr>
          <w:b/>
          <w:sz w:val="19"/>
        </w:rPr>
        <w:t xml:space="preserve">Übertragbarkeit: </w:t>
      </w:r>
      <w:r>
        <w:rPr>
          <w:sz w:val="19"/>
        </w:rPr>
        <w:t>Spanische Multizenterstudie mit etabliertem Register; Real-World-Evidenz zum Post-STEMI-Arrhythmie-Phänotyp.</w:t>
      </w:r>
    </w:p>
    <w:p>
      <w:r>
        <w:rPr>
          <w:color w:val="5A7D3A"/>
          <w:sz w:val="18"/>
        </w:rPr>
        <w:t>https://pubmed.ncbi.nlm.nih.gov/42720633/</w:t>
      </w:r>
    </w:p>
    <w:p>
      <w:pPr>
        <w:pStyle w:val="Heading2"/>
      </w:pPr>
      <w:r>
        <w:t>Stressechokardiographie mit LA-Strain verbessert HFpEF-Diagnose und reduziert Invasivtestungen um etwa 30 Prozent</w:t>
      </w:r>
    </w:p>
    <w:p>
      <w:r>
        <w:rPr>
          <w:i/>
          <w:color w:val="666666"/>
          <w:sz w:val="18"/>
        </w:rPr>
        <w:t>Harada T et al.  ·  Eur Heart J  ·  10.09.2026  ·  PMID 42720269</w:t>
      </w:r>
    </w:p>
    <w:p>
      <w:r>
        <w:t>Multizenterstudie an 482 Patienten mit Dyspnoe unklarer Ursache mit invasivem Belastungstest und simultaner Echokardiographie zur Validierung eines verbesserten diagnostischen Algorithmus für HFpEF mittels Stressecho und Vorhofbelastungszechanismus.</w:t>
      </w:r>
    </w:p>
    <w:p>
      <w:r>
        <w:rPr>
          <w:b/>
        </w:rPr>
        <w:t xml:space="preserve">Ergebnis: </w:t>
      </w:r>
      <w:r>
        <w:t>Aktuelle Diagnostik-Scores (H2FPEF, HFA-PEFF) zeigten nur 55–60 % Sensitivität. Mit optimierten Cut-Points für E/e' und LA-Reservoir-Strain (Systole/E/e') bei Ruhe konnten sichere Klassifikationen auf 70 % ausgeweitet werden, während invasive Tests von ~60 % auf ~30 % reduziert wurden (Sensitivität 95–99 % unter definitiv Klassifizierten). Befunde in internationalem Validierungskohorte bestätigt.</w:t>
      </w:r>
    </w:p>
    <w:p>
      <w:r>
        <w:rPr>
          <w:b/>
          <w:sz w:val="19"/>
        </w:rPr>
        <w:t xml:space="preserve">Übertragbarkeit: </w:t>
      </w:r>
      <w:r>
        <w:rPr>
          <w:sz w:val="19"/>
        </w:rPr>
        <w:t>USA-Studie mit internationalem Validierungskohorte; Verfahrensoptimierung übertragbar auf Chest-Pain-Units in Deutschland.</w:t>
      </w:r>
    </w:p>
    <w:p>
      <w:r>
        <w:rPr>
          <w:color w:val="5A7D3A"/>
          <w:sz w:val="18"/>
        </w:rPr>
        <w:t>https://pubmed.ncbi.nlm.nih.gov/42720269/</w:t>
      </w:r>
    </w:p>
    <w:p>
      <w:pPr>
        <w:pStyle w:val="Heading2"/>
      </w:pPr>
      <w:r>
        <w:t>Myeloperoxidase-Inhibitor Mitiperstat verbessert nicht Symptome oder Trainingsleistung bei Herzinsuffizienz mit erhaltener Ejektionsfraktion</w:t>
      </w:r>
    </w:p>
    <w:p>
      <w:r>
        <w:rPr>
          <w:i/>
          <w:color w:val="666666"/>
          <w:sz w:val="18"/>
        </w:rPr>
        <w:t>Lund LH et al.  ·  Nat Med  ·  09.09.2026  ·  PMID 42717033</w:t>
      </w:r>
    </w:p>
    <w:p>
      <w:r>
        <w:t>Randomisierte, doppelblinde Phase-2b-Studie mit 711 Patienten mit Herzinsuffizienz und EF &gt;40 %, die untersucht hat, ob der MPO-Inhibitor Mitiperstat über 48 Wochen Symptome und Trainingskapazität verbessert.</w:t>
      </w:r>
    </w:p>
    <w:p>
      <w:r>
        <w:rPr>
          <w:b/>
        </w:rPr>
        <w:t xml:space="preserve">Ergebnis: </w:t>
      </w:r>
      <w:r>
        <w:t>Mitiperstat (gepoolte Dosen) verschlechterte nicht das KCCQ-Total Symptom Score (Placebo-korrigierte Differenz −1,4 Punkte, 95%-KI −3,9–1,2; p=0,29) oder die 6-Minuten-Gehstrecke (3,8 m, 95%-KI −3,1–10,8; p=0,28). Die Therapie war sicher, aber wirkungslos für HFpEF/HFmrEF im chronischen Stadium.</w:t>
      </w:r>
    </w:p>
    <w:p>
      <w:r>
        <w:rPr>
          <w:b/>
          <w:sz w:val="19"/>
        </w:rPr>
        <w:t xml:space="preserve">Übertragbarkeit: </w:t>
      </w:r>
      <w:r>
        <w:rPr>
          <w:sz w:val="19"/>
        </w:rPr>
        <w:t>Multizentrische europäische und globale Studie; negative Ergebnisse für Leitlinienentscheidungen relevant.</w:t>
      </w:r>
    </w:p>
    <w:p>
      <w:r>
        <w:rPr>
          <w:color w:val="5A7D3A"/>
          <w:sz w:val="18"/>
        </w:rPr>
        <w:t>https://pubmed.ncbi.nlm.nih.gov/42717033/</w:t>
      </w:r>
    </w:p>
    <w:p>
      <w:pPr>
        <w:pStyle w:val="Heading2"/>
      </w:pPr>
      <w:r>
        <w:t>Herzinsuffizienz jeder EF-Kategorie ist mit kognitiven Beeinträchtigungen assoziiert, am stärksten bei reduzierter EF</w:t>
      </w:r>
    </w:p>
    <w:p>
      <w:r>
        <w:rPr>
          <w:i/>
          <w:color w:val="666666"/>
          <w:sz w:val="18"/>
        </w:rPr>
        <w:t>Satyadev N et al.  ·  J Am Heart Assoc  ·  09.09.2026  ·  PMID 42714589</w:t>
      </w:r>
    </w:p>
    <w:p>
      <w:r>
        <w:t>Querschnittstudie von 1.592 Patienten (mittleres Alter 75,7 Jahre) aus einem US-Gesundheitssystem, die Zusammenhänge zwischen HF-Phenotypen (nach EF-Kategorien) und kognitiven Funktionen (Montreal Cognitive Assessment) untersucht hat.</w:t>
      </w:r>
    </w:p>
    <w:p>
      <w:r>
        <w:rPr>
          <w:b/>
        </w:rPr>
        <w:t xml:space="preserve">Ergebnis: </w:t>
      </w:r>
      <w:r>
        <w:t>Niedrigere EF korrelierte mit schlechterer kognitiver Leistung (bereinigt β=0,033, p=0,013). HFrEF und HFpEF zeigten signifikant niedrigere MoCA-Werte als keine HF (HFrEF 17,6±6,2 vs. keine HF 19,9±6,0, p&lt;0,001). Moderate bis schwere kognitive Beeinträchtigung war höchst bei HFrEF (43,3 %), gefolgt von HFpEF (34,4 %).</w:t>
      </w:r>
    </w:p>
    <w:p>
      <w:r>
        <w:rPr>
          <w:b/>
          <w:sz w:val="19"/>
        </w:rPr>
        <w:t xml:space="preserve">Übertragbarkeit: </w:t>
      </w:r>
      <w:r>
        <w:rPr>
          <w:sz w:val="19"/>
        </w:rPr>
        <w:t>USA-Daten; Sekundärbefund zum kognitiven Risiko bei HF relevant für deutsche Versorgungsplanung und Geriatrie.</w:t>
      </w:r>
    </w:p>
    <w:p>
      <w:r>
        <w:rPr>
          <w:color w:val="5A7D3A"/>
          <w:sz w:val="18"/>
        </w:rPr>
        <w:t>https://pubmed.ncbi.nlm.nih.gov/42714589/</w:t>
      </w:r>
    </w:p>
    <w:p>
      <w:pPr>
        <w:pStyle w:val="Heading2"/>
      </w:pPr>
      <w:r>
        <w:t>Intermittierende Hypoxie-Hyperoxie-Exposition ist in HF-Patienten sicher und führt zu Verbesserungen der Blutdruckregulation und Körperzusammensetzung</w:t>
      </w:r>
    </w:p>
    <w:p>
      <w:r>
        <w:rPr>
          <w:i/>
          <w:color w:val="666666"/>
          <w:sz w:val="18"/>
        </w:rPr>
        <w:t>Bekfani T et al.  ·  ESC Heart Fail  ·  04.09.2026  ·  PMID 42695491</w:t>
      </w:r>
    </w:p>
    <w:p>
      <w:r>
        <w:t>Pilot-Feasibility-Studie mit 9 HF-Patienten (5 HFpEF, 4 HFrEF), die eine 10-wöchige individualisierte Intervention mit wiederholtem Höhentrainingszyklus (IHHE) hinsichtlich Sicherheit und Wirksamkeit auf Trainingskapazität und Lebensqualität untersucht hat.</w:t>
      </w:r>
    </w:p>
    <w:p>
      <w:r>
        <w:rPr>
          <w:b/>
        </w:rPr>
        <w:t xml:space="preserve">Ergebnis: </w:t>
      </w:r>
      <w:r>
        <w:t>IHHE war sicher und gut verträglich (Adhärenz 95 %), keine unerwünschten Ereignisse. Signifikante Reduktionen des systolischen (β=−5,95 mmHg) und diastolischen Blutdrucks (β=−3,74 mmHg) über 10 Wochen (p&lt;0,001). Fettmassenindex sank (9,32 vs. 8,92 kg/m², p=0,031), viszerales Fett sank (127,6 vs. 121,9 cm², p=0,005), numerische Trends zu besserem Peak VO₂ (+300 mL/min) und 6MWT (+22 m), keine QoL-Verbesserung beobachtet.</w:t>
      </w:r>
    </w:p>
    <w:p>
      <w:r>
        <w:rPr>
          <w:b/>
          <w:sz w:val="19"/>
        </w:rPr>
        <w:t xml:space="preserve">Übertragbarkeit: </w:t>
      </w:r>
      <w:r>
        <w:rPr>
          <w:sz w:val="19"/>
        </w:rPr>
        <w:t>Deutschland: Universitätsklinik Magdeburg mit europäischen Zentren; Machbarkeitsstudie für RCT-Vorbereitung.</w:t>
      </w:r>
    </w:p>
    <w:p>
      <w:r>
        <w:rPr>
          <w:color w:val="5A7D3A"/>
          <w:sz w:val="18"/>
        </w:rPr>
        <w:t>https://pubmed.ncbi.nlm.nih.gov/42695491/</w:t>
      </w:r>
    </w:p>
    <w:p>
      <w:pPr>
        <w:pStyle w:val="Heading2"/>
      </w:pPr>
      <w:r>
        <w:t>Kontinuierlich erhöhte Ketonkörper im Plasma sind mit ungünstigen Ereignissen in Herzinsuffizienz verbunden</w:t>
      </w:r>
    </w:p>
    <w:p>
      <w:r>
        <w:rPr>
          <w:i/>
          <w:color w:val="666666"/>
          <w:sz w:val="18"/>
        </w:rPr>
        <w:t>Palm CL et al.  ·  Clin Res Cardiol  ·  31.08.2026  ·  PMID 42671454</w:t>
      </w:r>
    </w:p>
    <w:p>
      <w:r>
        <w:t>Prospektive Kohortenstudie (TRIUMPH und Bio-SHiFT) mit 467 und 397 HF-Patienten, die durch Joint-Modeling wiederholte Plasma-Ketonkörper-Messungen und Zusammenhänge mit Tod/HF-Rehospitalisierung analysiert hat.</w:t>
      </w:r>
    </w:p>
    <w:p>
      <w:r>
        <w:rPr>
          <w:b/>
        </w:rPr>
        <w:t xml:space="preserve">Ergebnis: </w:t>
      </w:r>
      <w:r>
        <w:t>TRIUMPH: bei Verdopplung der Gesamt-Ketonkörper HR 2,10 (95%-KI 1,27–3,71) für kombiniertes Ereignis nach Anpassung. Bio-SHiFT: HR 5,36 (2,18–14,0) für Ketonkörper bei Studienendpunkt. Patienten mit Ereignissen zeigten durchgehend höhere Ketonkörper, was anhaltenden metabolischen Stress widerspiegelt.</w:t>
      </w:r>
    </w:p>
    <w:p>
      <w:r>
        <w:rPr>
          <w:b/>
          <w:sz w:val="19"/>
        </w:rPr>
        <w:t xml:space="preserve">Übertragbarkeit: </w:t>
      </w:r>
      <w:r>
        <w:rPr>
          <w:sz w:val="19"/>
        </w:rPr>
        <w:t>Niederländisch-deutsche Studienzentren; vergleichbar mit deutschen Kliniken in Struktur und Verfolgung.</w:t>
      </w:r>
    </w:p>
    <w:p>
      <w:r>
        <w:rPr>
          <w:color w:val="5A7D3A"/>
          <w:sz w:val="18"/>
        </w:rPr>
        <w:t>https://pubmed.ncbi.nlm.nih.gov/42671454/</w:t>
      </w:r>
    </w:p>
    <w:p>
      <w:pPr>
        <w:pStyle w:val="Heading1"/>
      </w:pPr>
      <w:r>
        <w:t>Aufgenommen am 10.09.2026</w:t>
      </w:r>
    </w:p>
    <w:p>
      <w:pPr>
        <w:pStyle w:val="Heading2"/>
      </w:pPr>
      <w:r>
        <w:t>Selektive Adipokinmodulierung verbessert HFpEF-Parameter stärker als Hämodynamik-Targeting</w:t>
      </w:r>
    </w:p>
    <w:p>
      <w:r>
        <w:rPr>
          <w:i/>
          <w:color w:val="666666"/>
          <w:sz w:val="18"/>
        </w:rPr>
        <w:t>Packer M et al.  ·  JACC Heart Fail  ·  08.09.2026  ·  PMID 42714366</w:t>
      </w:r>
    </w:p>
    <w:p>
      <w:r>
        <w:t>Analyse von HFpEF-Patienten (veröffentlichtes abstract, methodische Fokusstudie), Vergleich der Effekte von gerichteter Adipokinmodulation versus traditioneller hämodynamischer Therapieoptimierung.</w:t>
      </w:r>
    </w:p>
    <w:p>
      <w:r>
        <w:rPr>
          <w:b/>
        </w:rPr>
        <w:t xml:space="preserve">Ergebnis: </w:t>
      </w:r>
      <w:r>
        <w:t>Gezielte Adipokinmodulation führte zu messbaren Verbesserungen der linksventrikulären Funktion und Struktur; Hämodynamik-only-Ansätze zeigten weniger Benefit. Hinweis auf Bedeutung inflammatorischer und metabolischer Pathways bei HFpEF.</w:t>
      </w:r>
    </w:p>
    <w:p>
      <w:r>
        <w:rPr>
          <w:b/>
          <w:sz w:val="19"/>
        </w:rPr>
        <w:t xml:space="preserve">Übertragbarkeit: </w:t>
      </w:r>
      <w:r>
        <w:rPr>
          <w:sz w:val="19"/>
        </w:rPr>
        <w:t>Mechanismusstudie, USA-Setting, aber adipokine Targets sind universell relevant.</w:t>
      </w:r>
    </w:p>
    <w:p>
      <w:r>
        <w:rPr>
          <w:color w:val="5A7D3A"/>
          <w:sz w:val="18"/>
        </w:rPr>
        <w:t>https://pubmed.ncbi.nlm.nih.gov/42714366/</w:t>
      </w:r>
    </w:p>
    <w:p>
      <w:pPr>
        <w:pStyle w:val="Heading2"/>
      </w:pPr>
      <w:r>
        <w:t>Kombinierte Pulmonalvenenisolation und Vorhofohrkauerstöpselung mit gepulstem Feldablation ist sicher und wirksam</w:t>
      </w:r>
    </w:p>
    <w:p>
      <w:r>
        <w:rPr>
          <w:i/>
          <w:color w:val="666666"/>
          <w:sz w:val="18"/>
        </w:rPr>
        <w:t>Heeger CH et al.  ·  Europace  ·  02.09.2026  ·  PMID 42713747</w:t>
      </w:r>
    </w:p>
    <w:p>
      <w:r>
        <w:t>Retrospektive multizentrische Registerstudie zu 155 Patienten aus neun europäischen Ländern, die sich einer gleichzeitigen gepulsten Feldablation-basierten Pulmonalvenenisolation und Vorhofohrkauerstöpselung unterzogen.</w:t>
      </w:r>
    </w:p>
    <w:p>
      <w:r>
        <w:rPr>
          <w:b/>
        </w:rPr>
        <w:t xml:space="preserve">Ergebnis: </w:t>
      </w:r>
      <w:r>
        <w:t>Primärer Wirksamkeitsendpunkt erreicht bei 97,4 % (PVI erfolgreich 100 %, Verschluss 97,4 %), ernsthafte Nebenwirkungen bei 1,9 %. Sinusrhythmus bei 78,1 % der Patienten mit Follow-up &gt;6 Monate. Eine seltene Komplikation; insgesamt ein praxisrelevantes, kombiniertes Verfahren.</w:t>
      </w:r>
    </w:p>
    <w:p>
      <w:r>
        <w:rPr>
          <w:b/>
          <w:sz w:val="19"/>
        </w:rPr>
        <w:t xml:space="preserve">Übertragbarkeit: </w:t>
      </w:r>
      <w:r>
        <w:rPr>
          <w:sz w:val="19"/>
        </w:rPr>
        <w:t>Multinationale europäische Zentren, deutsche Standorte beteiligt, vergleichbare Strukturen.</w:t>
      </w:r>
    </w:p>
    <w:p>
      <w:r>
        <w:rPr>
          <w:color w:val="5A7D3A"/>
          <w:sz w:val="18"/>
        </w:rPr>
        <w:t>https://pubmed.ncbi.nlm.nih.gov/42713747/</w:t>
      </w:r>
    </w:p>
    <w:p>
      <w:pPr>
        <w:pStyle w:val="Heading2"/>
      </w:pPr>
      <w:r>
        <w:t>LGE-Korridore und Hochrisiko-Genotyp vorhersagen Herzrhythmusstörungen in dilatativer Kardiomyopathie besser als EF ≤35 %</w:t>
      </w:r>
    </w:p>
    <w:p>
      <w:r>
        <w:rPr>
          <w:i/>
          <w:color w:val="666666"/>
          <w:sz w:val="18"/>
        </w:rPr>
        <w:t>Ramos-López N et al.  ·  Circulation  ·  08.09.2026  ·  PMID 42708210</w:t>
      </w:r>
    </w:p>
    <w:p>
      <w:r>
        <w:t>Retrospektive multizentrische europäische Studie mit 925 Patienten mit nichtischämischer Kardiomyopathie, Analyse von Spätanreicherungsmustern im MRT und genetischen Varianten zur Vorhersage maligner ventrikulärer Arrhythmien.</w:t>
      </w:r>
    </w:p>
    <w:p>
      <w:r>
        <w:rPr>
          <w:b/>
        </w:rPr>
        <w:t xml:space="preserve">Ergebnis: </w:t>
      </w:r>
      <w:r>
        <w:t>Nach Median-Follow-up 5,4 Jahre 95 Ereignisse (10,3 %). Pro Läsionskanal im LGE: Subdistribution Hazard Ratio 1,25 (95 % CI 1,11–1,42; p&lt;0,001). Hochrisikogenotpyen: SHR 2,28 (95 % CI 1,32–3,96; p=0,003). Optimales Cutoff ≥4 Korridore. Fünf-Jahres-C-Index 0,72 vs. 0,57 (EF ≤35 %-Klassifikation).</w:t>
      </w:r>
    </w:p>
    <w:p>
      <w:r>
        <w:rPr>
          <w:b/>
          <w:sz w:val="19"/>
        </w:rPr>
        <w:t xml:space="preserve">Übertragbarkeit: </w:t>
      </w:r>
      <w:r>
        <w:rPr>
          <w:sz w:val="19"/>
        </w:rPr>
        <w:t>22 europäische Zentren, Europa-weite Kooperation, aber spezialisierte CMR/Genetik-Expertise erforderlich.</w:t>
      </w:r>
    </w:p>
    <w:p>
      <w:r>
        <w:rPr>
          <w:color w:val="5A7D3A"/>
          <w:sz w:val="18"/>
        </w:rPr>
        <w:t>https://pubmed.ncbi.nlm.nih.gov/42708210/</w:t>
      </w:r>
    </w:p>
    <w:p>
      <w:pPr>
        <w:pStyle w:val="Heading2"/>
      </w:pPr>
      <w:r>
        <w:t>Lipidsenker-Therapieintensivierung würde in Dänemark 589 Schlaganfälle jährlich verhindern</w:t>
      </w:r>
    </w:p>
    <w:p>
      <w:r>
        <w:rPr>
          <w:i/>
          <w:color w:val="666666"/>
          <w:sz w:val="18"/>
        </w:rPr>
        <w:t>Mohamed AA et al.  ·  Open Heart  ·  07.09.2026  ·  PMID 42705842</w:t>
      </w:r>
    </w:p>
    <w:p>
      <w:r>
        <w:t>Landesweite dänische Kohortenstudie mit 487.962 Patienten mit hohem oder sehr hohem Atheroskleroserisiko, Messung der LDL-Cholesterin-Zielwert-Erreichung und Modellierung der Auswirkungen von Leitlinienimplementierung.</w:t>
      </w:r>
    </w:p>
    <w:p>
      <w:r>
        <w:rPr>
          <w:b/>
        </w:rPr>
        <w:t xml:space="preserve">Ergebnis: </w:t>
      </w:r>
      <w:r>
        <w:t>Aktuelle Zielerreichung Primärprävention 39,8 % (dänisch) bzw. 15,1 % (europäisch), Sekundärprävention 18,8 %. Mit optimaler Umsetzung Steigerung auf 91,9 % (dänisch) bzw. 75,8 % (europäisch). Implementierung würde 589 Schlaganfälle, 491 Herzinfarkte, 581 Revaskularisationen, 196 kardiovaskuläre Todesfälle jährlich verhindern; 15,8 Mio. € Kosteneinsparung.</w:t>
      </w:r>
    </w:p>
    <w:p>
      <w:r>
        <w:rPr>
          <w:b/>
          <w:sz w:val="19"/>
        </w:rPr>
        <w:t xml:space="preserve">Übertragbarkeit: </w:t>
      </w:r>
      <w:r>
        <w:rPr>
          <w:sz w:val="19"/>
        </w:rPr>
        <w:t>Dänemark, vergleichbares nordeuropäisches Versicherungssystem, aber restriktivere PCSK9-Inhibitor-Erstattung.</w:t>
      </w:r>
    </w:p>
    <w:p>
      <w:r>
        <w:rPr>
          <w:color w:val="5A7D3A"/>
          <w:sz w:val="18"/>
        </w:rPr>
        <w:t>https://pubmed.ncbi.nlm.nih.gov/42705842/</w:t>
      </w:r>
    </w:p>
    <w:p>
      <w:pPr>
        <w:pStyle w:val="Heading2"/>
      </w:pPr>
      <w:r>
        <w:t>Temperaturextreme und Herzinsuffizienzeinweisungen in Schweden: Kältewellen erhöhen Risiko um 8,5 %</w:t>
      </w:r>
    </w:p>
    <w:p>
      <w:r>
        <w:rPr>
          <w:i/>
          <w:color w:val="666666"/>
          <w:sz w:val="18"/>
        </w:rPr>
        <w:t>Ni W et al.  ·  J Am Coll Cardiol  ·  01.09.2026  ·  PMID 42683967</w:t>
      </w:r>
    </w:p>
    <w:p>
      <w:r>
        <w:t>Bevölkerungsweite Fall-Crossover-Studie in Schweden mit 482.000 Herzinsuffizienzeinweisungen 2006–2021, Analyse der Assoziation mit Kältephasen und Hitzewellen.</w:t>
      </w:r>
    </w:p>
    <w:p>
      <w:r>
        <w:rPr>
          <w:b/>
        </w:rPr>
        <w:t xml:space="preserve">Ergebnis: </w:t>
      </w:r>
      <w:r>
        <w:t>Kältephasen/niedrigere Temperaturen (lag 2–6 Tage): OR 1,085 für kumulative Assoziation (95 % CI 1,042–1,129). Höhere Temperaturen (lag 0–3): OR 1,009 pro 10-Perzentil-Anstieg (95 % CI 1,006–1,013). Höhere Risiken verzögert bei Kälte, unmittelbar bei Hitze.</w:t>
      </w:r>
    </w:p>
    <w:p>
      <w:r>
        <w:rPr>
          <w:b/>
          <w:sz w:val="19"/>
        </w:rPr>
        <w:t xml:space="preserve">Übertragbarkeit: </w:t>
      </w:r>
      <w:r>
        <w:rPr>
          <w:sz w:val="19"/>
        </w:rPr>
        <w:t>Schweden, aber klimageografische Besonderheiten; Befund temperaturunabhängig übertragbar.</w:t>
      </w:r>
    </w:p>
    <w:p>
      <w:r>
        <w:rPr>
          <w:color w:val="5A7D3A"/>
          <w:sz w:val="18"/>
        </w:rPr>
        <w:t>https://pubmed.ncbi.nlm.nih.gov/42683967/</w:t>
      </w:r>
    </w:p>
    <w:p>
      <w:pPr>
        <w:pStyle w:val="Heading2"/>
      </w:pPr>
      <w:r>
        <w:t>Diabetische Kardiomyopathie: Expertenpapier zur Abgrenzung als eigenständige Erkrankung</w:t>
      </w:r>
    </w:p>
    <w:p>
      <w:r>
        <w:rPr>
          <w:i/>
          <w:color w:val="666666"/>
          <w:sz w:val="18"/>
        </w:rPr>
        <w:t>Seferovic P et al.  ·  Eur Heart J  ·  02.09.2026  ·  PMID 42681860</w:t>
      </w:r>
    </w:p>
    <w:p>
      <w:r>
        <w:t>Expertenkonsensus-Review zur Frage, ob diabetische Kardiomyopathie als eigenständiger Phänotyp zu definieren ist, mit Diskussion von pathophysiologischen Mechanismen und klinischen Implikationen.</w:t>
      </w:r>
    </w:p>
    <w:p>
      <w:r>
        <w:rPr>
          <w:b/>
        </w:rPr>
        <w:t xml:space="preserve">Ergebnis: </w:t>
      </w:r>
      <w:r>
        <w:t>Mehrheitliche Übereinkunft: Diabetische Kardiomyopathie ist ein eigenständiges Syndrom mit charakteristischen Muskel-, Stoffwechsel- und entzündlichen Merkmalen; Unterscheidung von rein ischämischer oder hypertensiver Kardiomyopathie gerechtfertigt. Empfehlung für zukünftige therapeutische Ansätze.</w:t>
      </w:r>
    </w:p>
    <w:p>
      <w:r>
        <w:rPr>
          <w:b/>
          <w:sz w:val="19"/>
        </w:rPr>
        <w:t xml:space="preserve">Übertragbarkeit: </w:t>
      </w:r>
      <w:r>
        <w:rPr>
          <w:sz w:val="19"/>
        </w:rPr>
        <w:t>Expertenkonsens international, Leitlinien-relevant für Diabetes-Kardiologie-Interface in Deutschland.</w:t>
      </w:r>
    </w:p>
    <w:p>
      <w:r>
        <w:rPr>
          <w:color w:val="5A7D3A"/>
          <w:sz w:val="18"/>
        </w:rPr>
        <w:t>https://pubmed.ncbi.nlm.nih.gov/42681860/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Kardiologie</dc:title>
  <dc:subject/>
  <dc:creator>Monitor Versorgungsforschung</dc:creator>
  <cp:keywords/>
  <dc:description>generated by python-docx</dc:description>
  <cp:lastModifiedBy/>
  <cp:revision>1</cp:revision>
  <dcterms:created xsi:type="dcterms:W3CDTF">2026-09-26T06:00:00Z</dcterms:created>
  <dcterms:modified xsi:type="dcterms:W3CDTF">2026-09-26T06:00:00Z</dcterms:modified>
  <cp:category/>
</cp:coreProperties>
</file>