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01.10.2026  |  125 Studien  |  kardio.m-vf.de</w:t>
      </w:r>
    </w:p>
    <w:p>
      <w:pPr>
        <w:pStyle w:val="Heading1"/>
      </w:pPr>
      <w:r>
        <w:t>Aufgenommen am 01.10.2026</w:t>
      </w:r>
    </w:p>
    <w:p>
      <w:pPr>
        <w:pStyle w:val="Heading2"/>
      </w:pPr>
      <w:r>
        <w:t>AF hospitalization: reduced readmissions, unchanged mortality over 14 years</w:t>
      </w:r>
    </w:p>
    <w:p>
      <w:r>
        <w:rPr>
          <w:i/>
          <w:color w:val="666666"/>
          <w:sz w:val="18"/>
        </w:rPr>
        <w:t>Moshkovits Y et al.  ·  Int J Cardiol  ·  30.09.2026  ·  PMID 42815583</w:t>
      </w:r>
    </w:p>
    <w:p>
      <w:r>
        <w:t>Population-based analysis of 12,141 newly diagnosed AF patients requiring hospitalization in Israel from 2008–2022, examining temporal trends in mortality, hospitalizations, bleeding, and stroke.</w:t>
      </w:r>
    </w:p>
    <w:p>
      <w:r>
        <w:rPr>
          <w:b/>
        </w:rPr>
        <w:t xml:space="preserve">Ergebnis: </w:t>
      </w:r>
      <w:r>
        <w:t>One-year mortality stable at 11,3 % (adjusted RR per year 1,01; 95 % CI 0,99–1,02). All-cause hospitalization declined from 61,6 % (adjusted RR 2008/09 vs 2020/21: 0,87; 95 % CI 0,79–0,95); AF-specific readmissions dropped markedly (adjusted RR 0,24; 95 % CI 0,22–0,26). Greater reduction in younger patients.</w:t>
      </w:r>
    </w:p>
    <w:p>
      <w:r>
        <w:rPr>
          <w:b/>
          <w:sz w:val="19"/>
        </w:rPr>
        <w:t xml:space="preserve">Übertragbarkeit: </w:t>
      </w:r>
      <w:r>
        <w:rPr>
          <w:sz w:val="19"/>
        </w:rPr>
        <w:t>Israeli national registry (Clalit Health Services); comparable healthcare system and AF epidemiology to Central Europe.</w:t>
      </w:r>
    </w:p>
    <w:p>
      <w:r>
        <w:rPr>
          <w:color w:val="5A7D3A"/>
          <w:sz w:val="18"/>
        </w:rPr>
        <w:t>https://pubmed.ncbi.nlm.nih.gov/42815583/</w:t>
      </w:r>
    </w:p>
    <w:p>
      <w:pPr>
        <w:pStyle w:val="Heading2"/>
      </w:pPr>
      <w:r>
        <w:t>Cardiovascular-kidney-metabolic multimorbidity increases mortality and HF readmission across all ejection fractions</w:t>
      </w:r>
    </w:p>
    <w:p>
      <w:r>
        <w:rPr>
          <w:i/>
          <w:color w:val="666666"/>
          <w:sz w:val="18"/>
        </w:rPr>
        <w:t>Kittipibul V et al.  ·  JAMA Cardiol  ·  30.09.2026  ·  PMID 42814450</w:t>
      </w:r>
    </w:p>
    <w:p>
      <w:r>
        <w:t>Retrospective cohort of 725,205 US hospitalized HF patients examining prevalence of overlapping cardiovascular-kidney-metabolic conditions and association with in-hospital and 1-year outcomes.</w:t>
      </w:r>
    </w:p>
    <w:p>
      <w:r>
        <w:rPr>
          <w:b/>
        </w:rPr>
        <w:t xml:space="preserve">Ergebnis: </w:t>
      </w:r>
      <w:r>
        <w:t>71,9 % (521,739) had ≥2 overlapping conditions; 6,7 % had HF alone. Compared to HF only, 4 overlapping conditions: in-hospital mortality HFrEF aOR 5,08 (95 % CI 4,43–5,83), HFpEF aOR 2,05 (95 % CI 1,77–2,38); 1-year postdischarge mortality HFrEF aHR 2,10 (95 % CI 1,93–2,29). Steepest risk increases in HFrEF.</w:t>
      </w:r>
    </w:p>
    <w:p>
      <w:r>
        <w:rPr>
          <w:b/>
          <w:sz w:val="19"/>
        </w:rPr>
        <w:t xml:space="preserve">Übertragbarkeit: </w:t>
      </w:r>
      <w:r>
        <w:rPr>
          <w:sz w:val="19"/>
        </w:rPr>
        <w:t>US registry 2019–2025; multimorbidity patterns relevant for stratifying German HF cohorts.</w:t>
      </w:r>
    </w:p>
    <w:p>
      <w:r>
        <w:rPr>
          <w:color w:val="5A7D3A"/>
          <w:sz w:val="18"/>
        </w:rPr>
        <w:t>https://pubmed.ncbi.nlm.nih.gov/42814450/</w:t>
      </w:r>
    </w:p>
    <w:p>
      <w:pPr>
        <w:pStyle w:val="Heading2"/>
      </w:pPr>
      <w:r>
        <w:t>Fixed-dose heart failure polypill improves medication adherence in Sri Lanka</w:t>
      </w:r>
    </w:p>
    <w:p>
      <w:r>
        <w:rPr>
          <w:i/>
          <w:color w:val="666666"/>
          <w:sz w:val="18"/>
        </w:rPr>
        <w:t>Agarwal A et al.  ·  JAMA Cardiol  ·  30.09.2026  ·  PMID 42814433</w:t>
      </w:r>
    </w:p>
    <w:p>
      <w:r>
        <w:t>Randomized clinical trial in Sri Lanka assessing feasibility, adherence, and safety of a novel fixed-dose HFrEF polypill versus usual care.</w:t>
      </w:r>
    </w:p>
    <w:p>
      <w:r>
        <w:rPr>
          <w:b/>
        </w:rPr>
        <w:t xml:space="preserve">Ergebnis: </w:t>
      </w:r>
      <w:r>
        <w:t>Trial demonstrates feasibility, improved medication adherence, and acceptable safety profile of polypill approach in resource-limited setting, addressing treatment gap in HFrEF management.</w:t>
      </w:r>
    </w:p>
    <w:p>
      <w:r>
        <w:rPr>
          <w:b/>
          <w:sz w:val="19"/>
        </w:rPr>
        <w:t xml:space="preserve">Übertragbarkeit: </w:t>
      </w:r>
      <w:r>
        <w:rPr>
          <w:sz w:val="19"/>
        </w:rPr>
        <w:t>South Asia/India setting with lower-income healthcare system; polypill strategy potentially adaptable to German DMP-HKK framework.</w:t>
      </w:r>
    </w:p>
    <w:p>
      <w:r>
        <w:rPr>
          <w:color w:val="5A7D3A"/>
          <w:sz w:val="18"/>
        </w:rPr>
        <w:t>https://pubmed.ncbi.nlm.nih.gov/42814433/</w:t>
      </w:r>
    </w:p>
    <w:p>
      <w:pPr>
        <w:pStyle w:val="Heading2"/>
      </w:pPr>
      <w:r>
        <w:t>Global heart failure burden: 56 million cases in 2023, varying etiologies by region and age</w:t>
      </w:r>
    </w:p>
    <w:p>
      <w:r>
        <w:rPr>
          <w:i/>
          <w:color w:val="666666"/>
          <w:sz w:val="18"/>
        </w:rPr>
        <w:t>Johnson CO et al.  ·  JAMA Cardiol  ·  30.09.2026  ·  PMID 42814432</w:t>
      </w:r>
    </w:p>
    <w:p>
      <w:r>
        <w:t>Systematic analysis estimated global heart failure prevalence, years lived with disability, and etiologies across 204 countries from 1990–2023.</w:t>
      </w:r>
    </w:p>
    <w:p>
      <w:r>
        <w:rPr>
          <w:b/>
        </w:rPr>
        <w:t xml:space="preserve">Ergebnis: </w:t>
      </w:r>
      <w:r>
        <w:t>Globally 56,0 million (95 % UI: 49,9–62,2) cases of HF in 2023, with ischemic heart disease and hypertensive heart disease as leading causes in older adults; substantial geographic variation in etiology including rheumatic heart disease in South/Southeast Asia, alcohol-related HF in Eastern Europe, Chagas disease in Latin America. Most etiologies preventable through interventions targeting modifiable risk factors.</w:t>
      </w:r>
    </w:p>
    <w:p>
      <w:r>
        <w:rPr>
          <w:b/>
          <w:sz w:val="19"/>
        </w:rPr>
        <w:t xml:space="preserve">Übertragbarkeit: </w:t>
      </w:r>
      <w:r>
        <w:rPr>
          <w:sz w:val="19"/>
        </w:rPr>
        <w:t>Global registry study; findings on preventable etiologies applicable to German public health prioritization.</w:t>
      </w:r>
    </w:p>
    <w:p>
      <w:r>
        <w:rPr>
          <w:color w:val="5A7D3A"/>
          <w:sz w:val="18"/>
        </w:rPr>
        <w:t>https://pubmed.ncbi.nlm.nih.gov/42814432/</w:t>
      </w:r>
    </w:p>
    <w:p>
      <w:pPr>
        <w:pStyle w:val="Heading2"/>
      </w:pPr>
      <w:r>
        <w:t>DOAC and VKA equally effective for left ventricular thrombus resolution after myocardial infarction</w:t>
      </w:r>
    </w:p>
    <w:p>
      <w:r>
        <w:rPr>
          <w:i/>
          <w:color w:val="666666"/>
          <w:sz w:val="18"/>
        </w:rPr>
        <w:t>Maslarska-Martens M et al.  ·  Clin Res Cardiol  ·  30.09.2026  ·  PMID 42814115</w:t>
      </w:r>
    </w:p>
    <w:p>
      <w:r>
        <w:t>Single-center retrospective study of 166 MI patients with confirmed left ventricular thrombus, comparing anticoagulation regimens and thrombus resolution.</w:t>
      </w:r>
    </w:p>
    <w:p>
      <w:r>
        <w:rPr>
          <w:b/>
        </w:rPr>
        <w:t xml:space="preserve">Ergebnis: </w:t>
      </w:r>
      <w:r>
        <w:t>Of 166 MI patients (0,83 % incidence), 120 had follow-up echocardiography; 79 % showed complete thrombus resolution. No significant difference between DOAC (87 %) and VKA (79 %; p = 0,42). Thirty-eight clinical events (bleeding, death, emboli) in 12 months, no significant differences between groups.</w:t>
      </w:r>
    </w:p>
    <w:p>
      <w:r>
        <w:rPr>
          <w:b/>
          <w:sz w:val="19"/>
        </w:rPr>
        <w:t xml:space="preserve">Übertragbarkeit: </w:t>
      </w:r>
      <w:r>
        <w:rPr>
          <w:sz w:val="19"/>
        </w:rPr>
        <w:t>German clinic data from 2008–2022; directly applicable to treatment decisions in similar healthcare setting.</w:t>
      </w:r>
    </w:p>
    <w:p>
      <w:r>
        <w:rPr>
          <w:color w:val="5A7D3A"/>
          <w:sz w:val="18"/>
        </w:rPr>
        <w:t>https://pubmed.ncbi.nlm.nih.gov/42814115/</w:t>
      </w:r>
    </w:p>
    <w:p>
      <w:pPr>
        <w:pStyle w:val="Heading2"/>
      </w:pPr>
      <w:r>
        <w:t>Finerenone superior to spironolactone for HFmrEF/HFpEF: lower mortality, HF events, hyperkalaemia</w:t>
      </w:r>
    </w:p>
    <w:p>
      <w:r>
        <w:rPr>
          <w:i/>
          <w:color w:val="666666"/>
          <w:sz w:val="18"/>
        </w:rPr>
        <w:t>Ha PTK et al.  ·  ESC Heart Fail  ·  30.09.2026  ·  PMID 42813221</w:t>
      </w:r>
    </w:p>
    <w:p>
      <w:r>
        <w:t>Retrospective active-comparator cohort study using TriNetX Network (9 July 2021 to 31 March 2025) comparing 12-month effectiveness and safety of finerenone versus spironolactone initiation in HFmrEF/HFpEF.</w:t>
      </w:r>
    </w:p>
    <w:p>
      <w:r>
        <w:rPr>
          <w:b/>
        </w:rPr>
        <w:t xml:space="preserve">Ergebnis: </w:t>
      </w:r>
      <w:r>
        <w:t>After 1:1 propensity-score matching (n=1,417 per group), finerenone associated with lower primary outcome (all-cause mortality or HF exacerbation: 32,3 % vs 41,7 %; aHR 0,72; 95 % CI 0,64–0,82; p&lt;0,001), all-cause mortality (aHR 0,67; 95 % CI 0,51–0,87), HF exacerbation (aHR 0,73; 95 % CI 0,64–0,83), all-cause hospitalisation (aHR 0,83; 95 % CI 0,76–0,91); hyperkalaemia less frequent with finerenone (17,9 % vs 22,8 %; RR 0,79; 95 % CI 0,68–0,91).</w:t>
      </w:r>
    </w:p>
    <w:p>
      <w:r>
        <w:rPr>
          <w:b/>
          <w:sz w:val="19"/>
        </w:rPr>
        <w:t xml:space="preserve">Übertragbarkeit: </w:t>
      </w:r>
      <w:r>
        <w:rPr>
          <w:sz w:val="19"/>
        </w:rPr>
        <w:t>Real-world US data (TriNetX); observational; hypothesis-generating for HFpEF treatment optimization in Germany.</w:t>
      </w:r>
    </w:p>
    <w:p>
      <w:r>
        <w:rPr>
          <w:color w:val="5A7D3A"/>
          <w:sz w:val="18"/>
        </w:rPr>
        <w:t>https://pubmed.ncbi.nlm.nih.gov/42813221/</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