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Digitalisierung, KI und Gesundheit von Monitor Versorgungsforschung. Täglich automatisiert KI-kuratiert aus PubMed und auf Deutsch übersetzt.</w:t>
      </w:r>
    </w:p>
    <w:p>
      <w:pPr>
        <w:pStyle w:val="Title"/>
      </w:pPr>
      <w:r>
        <w:t>Studienarchiv Digitalisierung, KI und Gesundheit</w:t>
      </w:r>
    </w:p>
    <w:p>
      <w:r>
        <w:rPr>
          <w:i/>
          <w:color w:val="666666"/>
          <w:sz w:val="18"/>
        </w:rPr>
        <w:t>Stand: 18.08.2026  |  10 Studien  |  ki.m-vf.de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Large Language Models für deutsche Leitlinienempfehlungen: Retrieval-Augmented Generation mit Benchmark-Evaluierung</w:t>
      </w:r>
    </w:p>
    <w:p>
      <w:r>
        <w:rPr>
          <w:i/>
          <w:color w:val="666666"/>
          <w:sz w:val="18"/>
        </w:rPr>
        <w:t>Schwietering J et al.  ·  BMJ Health Care Inform  ·  11.08.2026  ·  PMID 42580812</w:t>
      </w:r>
    </w:p>
    <w:p>
      <w:r>
        <w:t>Entwicklung und Validierung des cpgQA-DE-Benchmarks mit 200 Fragen aus 10 deutschen Fachleitlinien; Evaluierung von LLMs mit Retrieval-Augmented Generation.</w:t>
      </w:r>
    </w:p>
    <w:p>
      <w:r>
        <w:rPr>
          <w:b/>
        </w:rPr>
        <w:t xml:space="preserve">Ergebnis: </w:t>
      </w:r>
      <w:r>
        <w:t>Best-Performing-Kombination (GPT-5 + multilingual-e5-large) erreichte 95% Genauigkeit; Open-Weight-Modell gpt-oss-120b mit RAG erzielte 90% Genauigkeit. RAG verbesserte Leistung über alle Modelle hinweg deutlich.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Leitlinien und Kontext; direkt auf hiesige CDSS-Anforderungen übertragbar.</w:t>
      </w:r>
    </w:p>
    <w:p>
      <w:r>
        <w:rPr>
          <w:color w:val="5A7D3A"/>
          <w:sz w:val="18"/>
        </w:rPr>
        <w:t>https://pubmed.ncbi.nlm.nih.gov/42580812/</w:t>
      </w:r>
    </w:p>
    <w:p>
      <w:pPr>
        <w:pStyle w:val="Heading1"/>
      </w:pPr>
      <w:r>
        <w:t>Aufgenommen am 17.08.2026</w:t>
      </w:r>
    </w:p>
    <w:p>
      <w:pPr>
        <w:pStyle w:val="Heading2"/>
      </w:pPr>
      <w:r>
        <w:t>KI-Training über fünf Kliniken hinweg, ohne Patientendaten zu teilen: was der Datenschutz an Genauigkeit kostet</w:t>
      </w:r>
    </w:p>
    <w:p>
      <w:r>
        <w:rPr>
          <w:i/>
          <w:color w:val="666666"/>
          <w:sz w:val="18"/>
        </w:rPr>
        <w:t>Sheikhalishahi S et al.  ·  JMIR Med Inform  ·  14.08.2026  ·  PMID 42600153</w:t>
      </w:r>
    </w:p>
    <w:p>
      <w:r>
        <w:t>Vergleich dreier Trainingsverfahren an 24.521 Intensivpatienten aus fünf Datenbanken, darunter das Universitätsklinikum Augsburg, alle überführt in das OMOP-Datenmodell — die Frage ist nicht die Beatmung, sondern ob föderiertes Lernen das Zusammenlegen von Behandlungsdaten ersetzen kann.</w:t>
      </w:r>
    </w:p>
    <w:p>
      <w:r>
        <w:rPr>
          <w:b/>
        </w:rPr>
        <w:t xml:space="preserve">Ergebnis: </w:t>
      </w:r>
      <w:r>
        <w:t>Zentrales Training auf zusammengelegten Daten erreichte AUROC 0,81, föderiertes Lernen ohne Weitergabe von Patientendaten 0,74, rein lokales Training je nach Haus 0,68 bis 0,84. Der Abstand ist damit beziffert: rund sieben AUROC-Punkte — und Häuser mit guter eigener Datenlage verlieren durch die Föderation sogar. Die Autoren betonen, dass sie den Datenschutzgewinn nicht gemessen haben; die Zahlen sind ein Leistungsvergleich, keine Abwägung.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Schweizer Intensivdaten im OMOP-Modell, MII-Strukturen vergleichbar</w:t>
      </w:r>
    </w:p>
    <w:p>
      <w:r>
        <w:rPr>
          <w:color w:val="5A7D3A"/>
          <w:sz w:val="18"/>
        </w:rPr>
        <w:t>https://pubmed.ncbi.nlm.nih.gov/42600153/</w:t>
      </w:r>
    </w:p>
    <w:p>
      <w:pPr>
        <w:pStyle w:val="Heading2"/>
      </w:pPr>
      <w:r>
        <w:t>Reanimations-App im Simulationsversuch: kein Vorteil bei erfahrenen Teams</w:t>
      </w:r>
    </w:p>
    <w:p>
      <w:r>
        <w:rPr>
          <w:i/>
          <w:color w:val="666666"/>
          <w:sz w:val="18"/>
        </w:rPr>
        <w:t>Kamphausen A et al.  ·  Scand J Trauma Resusc Emerg Med  ·  12.08.2026  ·  PMID 42596010</w:t>
      </w:r>
    </w:p>
    <w:p>
      <w:r>
        <w:t>Randomisierte Machbarkeitsstudie mit 40 interprofessionellen Zweierteams (80 Teilnehmende) an einem Nürnberger Klinikum, die den innerklinischen Herzstillstand mit und ohne die App CPR Leader durchspielten.</w:t>
      </w:r>
    </w:p>
    <w:p>
      <w:r>
        <w:rPr>
          <w:b/>
        </w:rPr>
        <w:t xml:space="preserve">Ergebnis: </w:t>
      </w:r>
      <w:r>
        <w:t>Die Arbeitsbelastung (NASA-TLX) lag mit 49,2 ± 13,6 gegenüber 54,1 ± 14,6 Punkten ohne belastbaren Unterschied (p = 0,2) — mit mehr Anstrengung in der App-Gruppe und mehr Frustration in der Kontrollgruppe. Teamleistung, nichttechnische Fertigkeiten und alle Reanimationskennzahlen blieben gleich; in der Kontrollgruppe begann die Thoraxkompression bei Kammerflimmern sogar früher. Die Autoren führen das auf die hohe Erfahrung der Teilnehmenden zurück.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Klinikum, Simulation — auf ungeübte Teams nicht übertragbar</w:t>
      </w:r>
    </w:p>
    <w:p>
      <w:r>
        <w:rPr>
          <w:color w:val="5A7D3A"/>
          <w:sz w:val="18"/>
        </w:rPr>
        <w:t>https://pubmed.ncbi.nlm.nih.gov/42596010/</w:t>
      </w:r>
    </w:p>
    <w:p>
      <w:pPr>
        <w:pStyle w:val="Heading2"/>
      </w:pPr>
      <w:r>
        <w:t>KI-optimierte Diagnosepfade bei chronischer Atemnot: welche Untersuchung sich zuerst lohnt</w:t>
      </w:r>
    </w:p>
    <w:p>
      <w:r>
        <w:rPr>
          <w:i/>
          <w:color w:val="666666"/>
          <w:sz w:val="18"/>
        </w:rPr>
        <w:t>Olsson M et al.  ·  NPJ Prim Care Respir Med  ·  13.08.2026  ·  PMID 42595763</w:t>
      </w:r>
    </w:p>
    <w:p>
      <w:r>
        <w:t>Aus schwedischen Bevölkerungsdaten entwickeltes Reinforcement-Learning-Modell, das für 16 mögliche Ursachen von Atemnot die kostengünstigste Untersuchungsreihenfolge bestimmt.</w:t>
      </w:r>
    </w:p>
    <w:p>
      <w:r>
        <w:rPr>
          <w:b/>
        </w:rPr>
        <w:t xml:space="preserve">Ergebnis: </w:t>
      </w:r>
      <w:r>
        <w:t>Das Modell setzt durchgehend einfache und billige Schritte an den Anfang: Body-Mass-Index, Angst- und Depressionsscreening, körperliche Aktivität und Spirometrie, erst danach Diffusionskapazität, CT-Thorax und Hämoglobin. Die Lunge wird vor dem Herzen abgeklärt. Die Reihenfolge war über Geschlecht und Rauchstatus hinweg weitgehend gleich — die Personalisierung brachte weniger als die Sequenzierung.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steuerfinanziert — Kostengewichte hierzulande anders, Reihenfolge nicht</w:t>
      </w:r>
    </w:p>
    <w:p>
      <w:r>
        <w:rPr>
          <w:color w:val="5A7D3A"/>
          <w:sz w:val="18"/>
        </w:rPr>
        <w:t>https://pubmed.ncbi.nlm.nih.gov/42595763/</w:t>
      </w:r>
    </w:p>
    <w:p>
      <w:pPr>
        <w:pStyle w:val="Heading2"/>
      </w:pPr>
      <w:r>
        <w:t>Zwölf Monate App-Nutzung nach gynäkologischer Krebserkrankung: wer dabeibleibt und wer nicht</w:t>
      </w:r>
    </w:p>
    <w:p>
      <w:r>
        <w:rPr>
          <w:i/>
          <w:color w:val="666666"/>
          <w:sz w:val="18"/>
        </w:rPr>
        <w:t>Fosstveit SH et al.  ·  JMIR Mhealth Uhealth  ·  13.08.2026  ·  PMID 42594257</w:t>
      </w:r>
    </w:p>
    <w:p>
      <w:r>
        <w:t>Auswertung der Server-Protokolle von 378 Frauen aus fünf norwegischen Kliniken, denen im Rahmen der regulären Nachsorge eine Bewegungs-App samt Aktivitätsmesser angeboten wurde.</w:t>
      </w:r>
    </w:p>
    <w:p>
      <w:r>
        <w:rPr>
          <w:b/>
        </w:rPr>
        <w:t xml:space="preserve">Ergebnis: </w:t>
      </w:r>
      <w:r>
        <w:t>272 von 378 (72 Prozent) protokollierten mindestens zwei Wochen, 225 (60 Prozent) übertrugen Schrittdaten; im Mittel 5.657 Schritte täglich. Die Nutzung brach um die Wochen 16, 32 und 44 ein, erholte sich aber binnen drei Wochen — Aussetzer statt Abbruch. Nutzerinnen waren im Schnitt 6,7 Jahre jünger (95%-KI −9,6 bis −3,9), häufiger berufstätig und höher gebildet als Nichtnutzerinnen.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Regelversorgung — Bildungsgefälle der Nutzung dürfte hier ebenso auftreten</w:t>
      </w:r>
    </w:p>
    <w:p>
      <w:r>
        <w:rPr>
          <w:color w:val="5A7D3A"/>
          <w:sz w:val="18"/>
        </w:rPr>
        <w:t>https://pubmed.ncbi.nlm.nih.gov/42594257/</w:t>
      </w:r>
    </w:p>
    <w:p>
      <w:pPr>
        <w:pStyle w:val="Heading2"/>
      </w:pPr>
      <w:r>
        <w:t>Registerdaten statt Bauchgefühl: maschinelle Gruppierung von 106.490 Hautkrebspatienten</w:t>
      </w:r>
    </w:p>
    <w:p>
      <w:r>
        <w:rPr>
          <w:i/>
          <w:color w:val="666666"/>
          <w:sz w:val="18"/>
        </w:rPr>
        <w:t>Sieborg J et al.  ·  Acta Derm Venereol  ·  13.08.2026  ·  PMID 42593153</w:t>
      </w:r>
    </w:p>
    <w:p>
      <w:r>
        <w:t>Machine-Learning-Phänomapping des dänischen Hautkrebsregisters (2014 bis 2022) mit dem Ziel, für die Versorgungsplanung unterscheidbare Patientengruppen zu finden.</w:t>
      </w:r>
    </w:p>
    <w:p>
      <w:r>
        <w:rPr>
          <w:b/>
        </w:rPr>
        <w:t xml:space="preserve">Ergebnis: </w:t>
      </w:r>
      <w:r>
        <w:t>Sieben Cluster: eines mit 23.590 Personen (22,2 Prozent) jung, gebildet, einkommensstark, medizinisch unkompliziert, mit risikoarmen Basalzellkarzinomen; vier Cluster mit 58.736 Personen (55,2 Prozent) höherer dermatologischer Krankheitslast; zwei Cluster mit 24.164 Personen (22,7 Prozent) stark komorbid und immunsupprimiert. Der Ressourcenbedarf unterscheidet sich zwischen diesen Gruppen erheblich — ein Argument für differenzierte Versorgungspfade statt eines Pfades für alle.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Dänisches Register, ambulante Dermatologie — Datenlage hierzulande schlechter</w:t>
      </w:r>
    </w:p>
    <w:p>
      <w:r>
        <w:rPr>
          <w:color w:val="5A7D3A"/>
          <w:sz w:val="18"/>
        </w:rPr>
        <w:t>https://pubmed.ncbi.nlm.nih.gov/42593153/</w:t>
      </w:r>
    </w:p>
    <w:p>
      <w:pPr>
        <w:pStyle w:val="Heading2"/>
      </w:pPr>
      <w:r>
        <w:t>Dreißig Jahre telemedizinische Versorgung auf See: was Dauerbetrieb bewirkt</w:t>
      </w:r>
    </w:p>
    <w:p>
      <w:r>
        <w:rPr>
          <w:i/>
          <w:color w:val="666666"/>
          <w:sz w:val="18"/>
        </w:rPr>
        <w:t>Biesenbach P et al.  ·  Dan Med J  ·  04.06.2026  ·  PMID 42592762</w:t>
      </w:r>
    </w:p>
    <w:p>
      <w:r>
        <w:t>Retrospektive Kohortenstudie über sämtliche Beratungen des dänischen Funkarztdienstes Radio Medical Danmark von 1995 bis 2024.</w:t>
      </w:r>
    </w:p>
    <w:p>
      <w:r>
        <w:rPr>
          <w:b/>
        </w:rPr>
        <w:t xml:space="preserve">Ergebnis: </w:t>
      </w:r>
      <w:r>
        <w:t>49.999 versorgte Seeleute; die Zahl der Beratungen stieg von 240 (1995) auf 4.829 (2024). Der Anteil der Fälle, die eine Ausschiffung oder Evakuierung erforderten, sank von über 10 auf rund 5 Prozent. Häufigste Anlässe: Muskel-Skelett-Beschwerden (18,8 Prozent), Hauterkrankungen (14,6 Prozent), Bauchbeschwerden (11,5 Prozent). Die Halbierung der Evakuierungsquote ist der eigentliche Befund — Telemedizin ersetzt hier nicht Nähe, sondern Transport.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zentralisiert an einer Notaufnahme — Modell für Fernversorgung generell</w:t>
      </w:r>
    </w:p>
    <w:p>
      <w:r>
        <w:rPr>
          <w:color w:val="5A7D3A"/>
          <w:sz w:val="18"/>
        </w:rPr>
        <w:t>https://pubmed.ncbi.nlm.nih.gov/42592762/</w:t>
      </w:r>
    </w:p>
    <w:p>
      <w:pPr>
        <w:pStyle w:val="Heading2"/>
      </w:pPr>
      <w:r>
        <w:t>Dezentralisierte Studien zu seltenen Erkrankungen mit sekundären Gesundheitsdaten in Deutschland</w:t>
      </w:r>
    </w:p>
    <w:p>
      <w:r>
        <w:rPr>
          <w:i/>
          <w:color w:val="666666"/>
          <w:sz w:val="18"/>
        </w:rPr>
        <w:t>Zoch M et al.  ·  BMC Med Inform Decis Mak  ·  12.08.2026  ·  PMID 42587293</w:t>
      </w:r>
    </w:p>
    <w:p>
      <w:r>
        <w:t>CORD-MI-Projekt führt dezentralisierte Analysen zu Cystischer Fibrose, Phenylketonurie und Kawasaki-Syndrom durch, nutzt Routinedaten aus 20 deutschen Unikliniken ohne zentralisierte Datenzusammenführung.</w:t>
      </w:r>
    </w:p>
    <w:p>
      <w:r>
        <w:rPr>
          <w:b/>
        </w:rPr>
        <w:t xml:space="preserve">Ergebnis: </w:t>
      </w:r>
      <w:r>
        <w:t>Ergebnisse von bis zu 17 Zentren erreicht; identifiziert Hürden: Kodierungsungenauigkeiten für seltene Erkrankungen, Informationsverlust durch Maskierung, Verzerrungen im Gesundheitsprozess; zeigt Machbarkeit decentraler Forschung bei seltenen Erkrankungen.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Unikliniken, medizininformatik-initiative Standard, direkt auf deutsches Gesundheitssystem anwendbar.</w:t>
      </w:r>
    </w:p>
    <w:p>
      <w:r>
        <w:rPr>
          <w:color w:val="5A7D3A"/>
          <w:sz w:val="18"/>
        </w:rPr>
        <w:t>https://pubmed.ncbi.nlm.nih.gov/42587293/</w:t>
      </w:r>
    </w:p>
    <w:p>
      <w:pPr>
        <w:pStyle w:val="Heading2"/>
      </w:pPr>
      <w:r>
        <w:t>Elektronische Patientenberichte (ePRO) zur Therapiebereitschaftsprüfung in der Lungenkrebsbehandlung</w:t>
      </w:r>
    </w:p>
    <w:p>
      <w:r>
        <w:rPr>
          <w:i/>
          <w:color w:val="666666"/>
          <w:sz w:val="18"/>
        </w:rPr>
        <w:t>Scheel-Hincke LL et al.  ·  Qual Life Res  ·  12.08.2026  ·  PMID 42584738</w:t>
      </w:r>
    </w:p>
    <w:p>
      <w:r>
        <w:t>Implementierungsstudie an dänischem Onkologiezentrum evaluiert ein ePRO-System als Ersatz für Telefonkontakte vor Chemotherapie mit Mixed-Methods-Design und RE-AIM-Framework.</w:t>
      </w:r>
    </w:p>
    <w:p>
      <w:r>
        <w:rPr>
          <w:b/>
        </w:rPr>
        <w:t xml:space="preserve">Ergebnis: </w:t>
      </w:r>
      <w:r>
        <w:t>Fragebogen-Compliance stieg von 17,7% auf 76,3%; Pflegepersonal sparte etwa 6 Minuten pro Behandlung; 704 Patienten mit 6.134 abgeschlossenen Fragebögen; Patienten und Personal bewerteten das System als sinnvoll und akzeptabel.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 höherer Digitalisierungsgrad, aber ähnliche Versorgungsstruktur; Befunde auf deutsche Onkologie übertragbar.</w:t>
      </w:r>
    </w:p>
    <w:p>
      <w:r>
        <w:rPr>
          <w:color w:val="5A7D3A"/>
          <w:sz w:val="18"/>
        </w:rPr>
        <w:t>https://pubmed.ncbi.nlm.nih.gov/42584738/</w:t>
      </w:r>
    </w:p>
    <w:p>
      <w:pPr>
        <w:pStyle w:val="Heading2"/>
      </w:pPr>
      <w:r>
        <w:t>ePRO-basierte digitale Plattform mit Serious Game in pädiatrischer Onkologie und Palliativmedizin</w:t>
      </w:r>
    </w:p>
    <w:p>
      <w:r>
        <w:rPr>
          <w:i/>
          <w:color w:val="666666"/>
          <w:sz w:val="18"/>
        </w:rPr>
        <w:t>Meyerheim M et al.  ·  JMIR Cancer  ·  11.08.2026  ·  PMID 42579605</w:t>
      </w:r>
    </w:p>
    <w:p>
      <w:r>
        <w:t>Multizentrisches Machbarkeitsstudium an 3 Standorten (Deutschland, Tschechien) testet Akzeptanz und Engagement einer ePRO-Plattform mit Gamification für 83 Kinder und Jugendliche mit Krebs und 10 Fachpersonen.</w:t>
      </w:r>
    </w:p>
    <w:p>
      <w:r>
        <w:rPr>
          <w:b/>
        </w:rPr>
        <w:t xml:space="preserve">Ergebnis: </w:t>
      </w:r>
      <w:r>
        <w:t>Rekrutierungsrate 55%, Abbruchquote 18%, hohe Usability-Bewertung; Engagement nahm über Zeit ab, besonders bei älteren Kindern; Patienten zeigten höhere Motivation bei Rückmeldungen durch Fachpersonen.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Tschechien, EU-Setting, vergleichbare pädiatrisch-onkologische Standards.</w:t>
      </w:r>
    </w:p>
    <w:p>
      <w:r>
        <w:rPr>
          <w:color w:val="5A7D3A"/>
          <w:sz w:val="18"/>
        </w:rPr>
        <w:t>https://pubmed.ncbi.nlm.nih.gov/42579605/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2026-08-18T06:00:00Z</dcterms:created>
  <dcterms:modified xsi:type="dcterms:W3CDTF">2026-08-18T06:00:00Z</dcterms:modified>
  <cp:category/>
</cp:coreProperties>
</file>