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23.09.2026  |  7 Studien  |  ki.m-vf.de</w:t>
      </w:r>
    </w:p>
    <w:p>
      <w:pPr>
        <w:pStyle w:val="Heading1"/>
      </w:pPr>
      <w:r>
        <w:t>Aufgenommen am 23.09.2026</w:t>
      </w:r>
    </w:p>
    <w:p>
      <w:pPr>
        <w:pStyle w:val="Heading2"/>
      </w:pPr>
      <w:r>
        <w:t>Künstliche Intelligenz in der Atemnot-Versorgung bei fortgeschrittenem Lungenkrebs: Scoping Review (Protokoll)</w:t>
      </w:r>
    </w:p>
    <w:p>
      <w:r>
        <w:rPr>
          <w:i/>
          <w:color w:val="666666"/>
          <w:sz w:val="18"/>
        </w:rPr>
        <w:t>Zhang X et al.  ·  BMJ Open  ·  22.09.2026  ·  PMID 42772888</w:t>
      </w:r>
    </w:p>
    <w:p>
      <w:r>
        <w:t>Protokoll für systematische Übersichtsarbeit zu KI-Anwendungen (Überwachung, Risikoprognose, Entscheidungsunterstützung) in der Symptomkontrolle bei palliativen Lungenkrebspatienten.</w:t>
      </w:r>
    </w:p>
    <w:p>
      <w:r>
        <w:rPr>
          <w:b/>
        </w:rPr>
        <w:t xml:space="preserve">Ergebnis: </w:t>
      </w:r>
      <w:r>
        <w:t>Noch nicht durchgeführt (Protokoll). Geplant: Suche in 13 Datenbanken ohne Datumbeschränkung, Mixed-Methods-Studien sowie Graubestandsliteratur, narrative Synthese. Bearbeitung laufend (Registration CRD420251112279).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Übertragbarkeit offen: Zielgruppe Palliativmedizin deckungsgleich mit Deutschland; Technikspektrum und Implementierungskontexte noch zu analysieren.</w:t>
      </w:r>
    </w:p>
    <w:p>
      <w:r>
        <w:rPr>
          <w:color w:val="5A7D3A"/>
          <w:sz w:val="18"/>
        </w:rPr>
        <w:t>https://pubmed.ncbi.nlm.nih.gov/42772888/</w:t>
      </w:r>
    </w:p>
    <w:p>
      <w:pPr>
        <w:pStyle w:val="Heading2"/>
      </w:pPr>
      <w:r>
        <w:t>Machine Learning zur Sterblichkeitsprognose bei Diabetes + Hypertonie: AUC 0,873</w:t>
      </w:r>
    </w:p>
    <w:p>
      <w:r>
        <w:rPr>
          <w:i/>
          <w:color w:val="666666"/>
          <w:sz w:val="18"/>
        </w:rPr>
        <w:t>Ding W et al.  ·  JMIR Med Inform  ·  22.09.2026  ·  PMID 42772752</w:t>
      </w:r>
    </w:p>
    <w:p>
      <w:r>
        <w:t>Entwicklung und Validierung von fünf Machine-Learning-Modellen zur Vorhersage der Gesamtsterblichkeit (all-cause mortality) bei Patienten mit Typ-2-Diabetes und Hypertonie.</w:t>
      </w:r>
    </w:p>
    <w:p>
      <w:r>
        <w:rPr>
          <w:b/>
        </w:rPr>
        <w:t xml:space="preserve">Ergebnis: </w:t>
      </w:r>
      <w:r>
        <w:t>Random-Forest-Modell überlegen mit AUC 0,873 (95%-KI 0,856-0,891), gefolgt von Light-Gradient-Boosting (AUC 0,785) und anderen. Schlüsselprediktoren: Alter, Rasse, chronische Nierenkrankheit, BMI, Blutharnstoff. Kalibrierung hervorragend, klinische Utilität über mehrere Risikoschwellen nachgewiesen.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(National Health and Nutrition Examination Survey): Technisch übertragbar; Validierung auf deutschem Vergleichskollektiv erforderlich, da ethnische Zusammensetzung unterschiedlich.</w:t>
      </w:r>
    </w:p>
    <w:p>
      <w:r>
        <w:rPr>
          <w:color w:val="5A7D3A"/>
          <w:sz w:val="18"/>
        </w:rPr>
        <w:t>https://pubmed.ncbi.nlm.nih.gov/42772752/</w:t>
      </w:r>
    </w:p>
    <w:p>
      <w:pPr>
        <w:pStyle w:val="Heading2"/>
      </w:pPr>
      <w:r>
        <w:t>Safety-Benchmarking von LLMs in Zervixkrebs-Screening-Management: Fehlerrate bei komplexen Fällen 29%</w:t>
      </w:r>
    </w:p>
    <w:p>
      <w:r>
        <w:rPr>
          <w:i/>
          <w:color w:val="666666"/>
          <w:sz w:val="18"/>
        </w:rPr>
        <w:t>Eroğlu ÖO et al.  ·  J Med Internet Res  ·  22.09.2026  ·  PMID 42772748</w:t>
      </w:r>
    </w:p>
    <w:p>
      <w:r>
        <w:t>Sicherheitsprüfung von drei großen Sprachmodellen zur Einhaltung von ASCCP-Richtlinien beim Risiko-basierten Management abnormaler Abstriche, mit Fokus auf sichere Empfehlungen.</w:t>
      </w:r>
    </w:p>
    <w:p>
      <w:r>
        <w:rPr>
          <w:b/>
        </w:rPr>
        <w:t xml:space="preserve">Ergebnis: </w:t>
      </w:r>
      <w:r>
        <w:t>Unter Leitlinien-Promptpaket erzielte GPT-5.3 100% fehlerfreie Rate (95%-KI 94-100%), Gemini 3 Flash 98,9%, DeepSeek V3.2 nur 75%. Fehlerrate stieg mit Szenario-Komplexität von 3,1% (niedrig) auf 29% (hoch); Leitlinien-Prompts verbesserten Sicherheit um OR 3,76.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USA: Die Befunde zur Fehleranfälligkeit in komplexen, historienabhängigen Szenarien gelten modellunabhängig; Übertragung auf deutsches ärztliches Screening realistisch.</w:t>
      </w:r>
    </w:p>
    <w:p>
      <w:r>
        <w:rPr>
          <w:color w:val="5A7D3A"/>
          <w:sz w:val="18"/>
        </w:rPr>
        <w:t>https://pubmed.ncbi.nlm.nih.gov/42772748/</w:t>
      </w:r>
    </w:p>
    <w:p>
      <w:pPr>
        <w:pStyle w:val="Heading2"/>
      </w:pPr>
      <w:r>
        <w:t>Digital-Reminder-Tool zur Verbesserung der Diabetes-Follow-up-Adhärenz: RCT in Belgien</w:t>
      </w:r>
    </w:p>
    <w:p>
      <w:r>
        <w:rPr>
          <w:i/>
          <w:color w:val="666666"/>
          <w:sz w:val="18"/>
        </w:rPr>
        <w:t>Annancy B et al.  ·  JMIR Res Protoc  ·  22.09.2026  ·  PMID 42771875</w:t>
      </w:r>
    </w:p>
    <w:p>
      <w:r>
        <w:t>Randomisierte kontrollierte Studie zu einem Patientenportal-Extension (DIPAR-Tool) mit automatisierten Erinnerungen und Arzt-Patienten-Dashboard zur Steigerung der Adhärenz zu Monitoring-Untersuchungen bei Typ-2-Diabetes.</w:t>
      </w:r>
    </w:p>
    <w:p>
      <w:r>
        <w:rPr>
          <w:b/>
        </w:rPr>
        <w:t xml:space="preserve">Ergebnis: </w:t>
      </w:r>
      <w:r>
        <w:t>Studie nach Protokoll: 201 Patienten rekrutiert (100 Interventionsgruppe), Datenextrahierung ab März 2026 gestartet. Primäres Outcome: Anteil Patienten mit dokumentierter jährlicher Albuminurie-Messung; Sekundäroutcome: ≥2 HbA1c-Messungen/12 Monate. Datenanalyse noch nicht begonnen.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Belgien: Direkt vergleichbares Versicherungssystem und Dokumentationskontexte wie Deutschland; Interoperabilität mit EHR-Systemen relevant.</w:t>
      </w:r>
    </w:p>
    <w:p>
      <w:r>
        <w:rPr>
          <w:color w:val="5A7D3A"/>
          <w:sz w:val="18"/>
        </w:rPr>
        <w:t>https://pubmed.ncbi.nlm.nih.gov/42771875/</w:t>
      </w:r>
    </w:p>
    <w:p>
      <w:pPr>
        <w:pStyle w:val="Heading2"/>
      </w:pPr>
      <w:r>
        <w:t>Stakeholder-Perspektiven auf KI in der Diabetestherapie: Systematische Qualitative Analyse</w:t>
      </w:r>
    </w:p>
    <w:p>
      <w:r>
        <w:rPr>
          <w:i/>
          <w:color w:val="666666"/>
          <w:sz w:val="18"/>
        </w:rPr>
        <w:t>Martínez-Martínez H et al.  ·  J Med Internet Res  ·  22.09.2026  ·  PMID 42771802</w:t>
      </w:r>
    </w:p>
    <w:p>
      <w:r>
        <w:t>Qualitative Synthese der Erwartungen, Bedenken und Erfahrungen von Patienten, Angehörigen, Fachkräften und Administratoren zur Integration von KI-Tools in der Diabetesversorgung.</w:t>
      </w:r>
    </w:p>
    <w:p>
      <w:r>
        <w:rPr>
          <w:b/>
        </w:rPr>
        <w:t xml:space="preserve">Ergebnis: </w:t>
      </w:r>
      <w:r>
        <w:t>14 Studien (2023–2025), ≥738 Teilnehmer, 9 Länder: Nutzen in präventiver, individualisierter Versorgung, Bildung und Selbstmanagement gesehen; kritische Punkte Genauigkeit, Bias, Datenschutz, Kontofähigkeit, Mehrbelastung, Autonomieverlust, mangelnde Menschenzentrierung. 11/13 Befunde mit hohem Vertrauen eingestuft. Keine Evidenz für klinische Effektivität oder Sicherheit.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Multland-Befunde: Die identifizierten Implementierungsbarrieren (Explainability, Workflow-Integration, Governance) gelten auch für deutsche Kontexte; starke Heterogenität der Studien begrenzt Generalisierbarkeit.</w:t>
      </w:r>
    </w:p>
    <w:p>
      <w:r>
        <w:rPr>
          <w:color w:val="5A7D3A"/>
          <w:sz w:val="18"/>
        </w:rPr>
        <w:t>https://pubmed.ncbi.nlm.nih.gov/42771802/</w:t>
      </w:r>
    </w:p>
    <w:p>
      <w:pPr>
        <w:pStyle w:val="Heading2"/>
      </w:pPr>
      <w:r>
        <w:t>Atomic Fact-Checking in LLMs für medizinische Frage-Antwort-Systeme: Halluzinationen um 80% reduziert</w:t>
      </w:r>
    </w:p>
    <w:p>
      <w:r>
        <w:rPr>
          <w:i/>
          <w:color w:val="666666"/>
          <w:sz w:val="18"/>
        </w:rPr>
        <w:t>Vladika J et al.  ·  J Med Internet Res  ·  21.09.2026  ·  PMID 42770666</w:t>
      </w:r>
    </w:p>
    <w:p>
      <w:r>
        <w:t>Entwicklung eines Frameworks zur Verbesserung der Zuverlässigkeit von Large Language Models (LLMs) durch automatisierte Überprüfung atomarer Fakten gegen medizinische Guidelines, um Halluzinationen und Ungenauigkeiten zu reduzieren.</w:t>
      </w:r>
    </w:p>
    <w:p>
      <w:r>
        <w:rPr>
          <w:b/>
        </w:rPr>
        <w:t xml:space="preserve">Ergebnis: </w:t>
      </w:r>
      <w:r>
        <w:t>Das Framework erzielte 50% Gesamtverbesserung der Antwortqualität und 80% Halluzinationserkennung; besonders bei komplexen klinischen Fällen (Tumor-Board-Szenarien) war der Gewinn am stärksten. Die Explainability gelang durch Rückverfolgung jedes Fakts zu relevanten Wissensquellen.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Technik systemunabhängig, entwickelt mit offenen Modellen; Übertragung auf lokale Medizin-KI realistisch.</w:t>
      </w:r>
    </w:p>
    <w:p>
      <w:r>
        <w:rPr>
          <w:color w:val="5A7D3A"/>
          <w:sz w:val="18"/>
        </w:rPr>
        <w:t>https://pubmed.ncbi.nlm.nih.gov/42770666/</w:t>
      </w:r>
    </w:p>
    <w:p>
      <w:pPr>
        <w:pStyle w:val="Heading2"/>
      </w:pPr>
      <w:r>
        <w:t>mHealth-Intervention zur Demenz-Risikoreduktion in Deutschland: Machbarkeitsstudie</w:t>
      </w:r>
    </w:p>
    <w:p>
      <w:r>
        <w:rPr>
          <w:i/>
          <w:color w:val="666666"/>
          <w:sz w:val="18"/>
        </w:rPr>
        <w:t>Zülke AE et al.  ·  BMJ Open  ·  16.09.2026  ·  PMID 42749366</w:t>
      </w:r>
    </w:p>
    <w:p>
      <w:r>
        <w:t>Pilotstudie zur Machbarkeit und Nutzerfreundlichkeit einer adaptierten Smartphone-App (MyBraincoach) zur Demenz-Risikoreduktion durch lebensstiländernde Maßnahmen bei älteren Erwachsenen.</w:t>
      </w:r>
    </w:p>
    <w:p>
      <w:r>
        <w:rPr>
          <w:b/>
        </w:rPr>
        <w:t xml:space="preserve">Ergebnis: </w:t>
      </w:r>
      <w:r>
        <w:t>Studienprotokoll: n=75 Teilnehmer (40–75 Jahre), 12-Wochen-Intervention mit Pre-Post-Design und Remote-Fokusgruppe. Primäre Outcomes: Machbarkeit, Rekrutierungserfolg, App-Nutzung und Usability. Sekundäre Outcomes: Veränderung in Demenz-Risikoprofil, Demenzkompetenz, Lebensqualität, Selbstwirksamkeit. Datenanalyse steht 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Nationale Rekrutierung, deutsches Gesundheitssystem, Translation aus Niederländischem Kontext (Maastricht) mit Kulturanpassung geplant.</w:t>
      </w:r>
    </w:p>
    <w:p>
      <w:r>
        <w:rPr>
          <w:color w:val="5A7D3A"/>
          <w:sz w:val="18"/>
        </w:rPr>
        <w:t>https://pubmed.ncbi.nlm.nih.gov/42749366/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2026-09-23T06:00:00Z</dcterms:created>
  <dcterms:modified xsi:type="dcterms:W3CDTF">2026-09-23T06:00:00Z</dcterms:modified>
  <cp:category/>
</cp:coreProperties>
</file>