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05.10.2026  |  7 Studien  |  ki.m-vf.de</w:t>
      </w:r>
    </w:p>
    <w:p>
      <w:pPr>
        <w:pStyle w:val="Heading1"/>
      </w:pPr>
      <w:r>
        <w:t>Aufgenommen am 05.10.2026</w:t>
      </w:r>
    </w:p>
    <w:p>
      <w:pPr>
        <w:pStyle w:val="Heading2"/>
      </w:pPr>
      <w:r>
        <w:t>EHR-Implementierung und Ärzte-Burnout: Dokumentationsbelastung als Schlüsselfaktor</w:t>
      </w:r>
    </w:p>
    <w:p>
      <w:r>
        <w:rPr>
          <w:i/>
          <w:color w:val="666666"/>
          <w:sz w:val="18"/>
        </w:rPr>
        <w:t>Lee YR et al.  ·  J Eval Clin Pract  ·  Okt. 2026  ·  PMID 42829915</w:t>
      </w:r>
    </w:p>
    <w:p>
      <w:r>
        <w:t>Prospektive Querschnittsstudie über drei Phasen einer systemweiten EHR-Einführung an einer akademischen Klinik zur Identifikation von Burnout-Faktoren bei Ärzten in Akut- und Rehabilitationskliniken.</w:t>
      </w:r>
    </w:p>
    <w:p>
      <w:r>
        <w:rPr>
          <w:b/>
        </w:rPr>
        <w:t xml:space="preserve">Ergebnis: </w:t>
      </w:r>
      <w:r>
        <w:t>Insgesamt blieb Burnout über die Implementierungsphasen stabil (p ≥ 0,05); Ärzte über 65 Jahren zeigten durchgehend protektive Effekte (adjustierte Odds Ratio 0,33–0,49); erhöhte Abenddokumentation ("Pyjama Time") korrelierte mit höherem depersonalization-Score (aOR 1,07; p=0,02), insbesondere in der Post-Implementierungsphase mit durchschnittlich 381,6 Min./Tag.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(Toronto), vergleichbare Gesundheitssystem-Struktur, aber zeigt typische EHR-Implementierungsprobleme</w:t>
      </w:r>
    </w:p>
    <w:p>
      <w:r>
        <w:rPr>
          <w:color w:val="5A7D3A"/>
          <w:sz w:val="18"/>
        </w:rPr>
        <w:t>https://pubmed.ncbi.nlm.nih.gov/42829915/</w:t>
      </w:r>
    </w:p>
    <w:p>
      <w:pPr>
        <w:pStyle w:val="Heading2"/>
      </w:pPr>
      <w:r>
        <w:t>KI-gestützte zweite Lesart von Zahnröntgenbildern: Verbesserung der Karieserkennung</w:t>
      </w:r>
    </w:p>
    <w:p>
      <w:r>
        <w:rPr>
          <w:i/>
          <w:color w:val="666666"/>
          <w:sz w:val="18"/>
        </w:rPr>
        <w:t>Šmucler R  ·  Cas Lek Cesk  ·  2026  ·  PMID 42829829</w:t>
      </w:r>
    </w:p>
    <w:p>
      <w:r>
        <w:t>Analyse des Einsatzes von KI als zweites Leseverfahren bei Bissflügelaufnahmen zur Früherkennung approximaler Schmelzkaries in der zahnärztlichen Praxis.</w:t>
      </w:r>
    </w:p>
    <w:p>
      <w:r>
        <w:rPr>
          <w:b/>
        </w:rPr>
        <w:t xml:space="preserve">Ergebnis: </w:t>
      </w:r>
      <w:r>
        <w:t>Ohne KI-Unterstützung erkannten Zahnärzte 44,3 % approximaler Schmelzläsionen, mit KI-Assistenz 75,8 % – ein Unterschied von 31,5 Prozentpunkten; sichere Implementierung erfordert KI als zweites Leseverfahren, klinische Überprüfung falsch-positiver Befunde und Beibehaltung der Kliniker-Verantwortung.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Zahnmedizin, Deutschland – ähnliche diagnostische Anforderungen und Dokumentationspraktiken</w:t>
      </w:r>
    </w:p>
    <w:p>
      <w:r>
        <w:rPr>
          <w:color w:val="5A7D3A"/>
          <w:sz w:val="18"/>
        </w:rPr>
        <w:t>https://pubmed.ncbi.nlm.nih.gov/42829829/</w:t>
      </w:r>
    </w:p>
    <w:p>
      <w:pPr>
        <w:pStyle w:val="Heading2"/>
      </w:pPr>
      <w:r>
        <w:t>Digitale Sprachdokumentation in der Klinik: Potenziale und Implementierungsrisiken</w:t>
      </w:r>
    </w:p>
    <w:p>
      <w:r>
        <w:rPr>
          <w:i/>
          <w:color w:val="666666"/>
          <w:sz w:val="18"/>
        </w:rPr>
        <w:t>Ettlerová T  ·  Cas Lek Cesk  ·  2026  ·  PMID 42829828</w:t>
      </w:r>
    </w:p>
    <w:p>
      <w:r>
        <w:t>Überblick über Einsatz von KI-gestützten digitalen Scribern für automatisierte klinische Dokumentation in ambulanter und stationärer Versorgung unter Analyse von Evidenz, Nutzen, Risiken und Implementierungsanforderungen.</w:t>
      </w:r>
    </w:p>
    <w:p>
      <w:r>
        <w:rPr>
          <w:b/>
        </w:rPr>
        <w:t xml:space="preserve">Ergebnis: </w:t>
      </w:r>
      <w:r>
        <w:t>Studien deuten auf Reduktion der Dokumentationszeit, geringere kognitive Last und bessere Arzt-Patient-Aufmerksamkeit hin; erhebliche Risiken sind Ungenauigkeiten, Auslassungen, überlange Noten und Medikationsfehler – sichere Implementierung erfordert qualifizierte menschliche Überprüfung und Workflow-Integration.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Tschechisches Gesundheitssystem, Evidenz übertragbar auf deutschsprachigen Raum mit ähnlichen Dokumentationspflichten</w:t>
      </w:r>
    </w:p>
    <w:p>
      <w:r>
        <w:rPr>
          <w:color w:val="5A7D3A"/>
          <w:sz w:val="18"/>
        </w:rPr>
        <w:t>https://pubmed.ncbi.nlm.nih.gov/42829828/</w:t>
      </w:r>
    </w:p>
    <w:p>
      <w:pPr>
        <w:pStyle w:val="Heading2"/>
      </w:pPr>
      <w:r>
        <w:t>Echtzeit-AI zur intraoperativen Anatomie-Segmentierung in der Neurochirurgie: erste Klinik-Evaluation</w:t>
      </w:r>
    </w:p>
    <w:p>
      <w:r>
        <w:rPr>
          <w:i/>
          <w:color w:val="666666"/>
          <w:sz w:val="18"/>
        </w:rPr>
        <w:t>Khan DZ et al.  ·  Pituitary  ·  03.10.2026  ·  PMID 42829367</w:t>
      </w:r>
    </w:p>
    <w:p>
      <w:r>
        <w:t>IDEAL-Stage-1-Evaluierung von Echtzeit-Pixel-Level-Computer-Vision-KI zur anatomischen Segmentierung während endoskopischer transsphenoidaler Hypophysenchirurgie mit Fokus auf Machbarkeit, Nutzerinteraktion und klinische Sicherheit.</w:t>
      </w:r>
    </w:p>
    <w:p>
      <w:r>
        <w:rPr>
          <w:b/>
        </w:rPr>
        <w:t xml:space="preserve">Ergebnis: </w:t>
      </w:r>
      <w:r>
        <w:t>Bei acht Patienten mit Hypophysenadenomen gelang erfolgreiche KI-Deployment in sechs Fällen mit akzeptabler Sella-Segmentations-Genauigkeit; Deployment-Fehler in zwei Fällen aufgrund Boot-Konfiguration; Multiplikator-Feedback führte zur Integration zusätzlicher Struktur-Segmentationen (Karotis-Arterien) und Hardware-Upgrades; Chirurgisches Team bewertete Machbarkeit, Usability und Akzeptabilität zufriedenstellend; keine Sicherheitsvorfälle, keine AI-bedingten Komplikationen, keine signifikante Ablenkung des Operateurs.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(UCL/NHS), hochentwickeltes System; Konzept auf deutsches Neurochirurgie-Setting übertragbar</w:t>
      </w:r>
    </w:p>
    <w:p>
      <w:r>
        <w:rPr>
          <w:color w:val="5A7D3A"/>
          <w:sz w:val="18"/>
        </w:rPr>
        <w:t>https://pubmed.ncbi.nlm.nih.gov/42829367/</w:t>
      </w:r>
    </w:p>
    <w:p>
      <w:pPr>
        <w:pStyle w:val="Heading2"/>
      </w:pPr>
      <w:r>
        <w:t>Tiefenkamera-AI zur Sturzerfassung bei Parkinson und PSP: Datenschutz ohne Cloud-Abhängigkeit</w:t>
      </w:r>
    </w:p>
    <w:p>
      <w:r>
        <w:rPr>
          <w:i/>
          <w:color w:val="666666"/>
          <w:sz w:val="18"/>
        </w:rPr>
        <w:t>Kamo H et al.  ·  Front Neurol  ·  18.09.2026  ·  PMID 42827797</w:t>
      </w:r>
    </w:p>
    <w:p>
      <w:r>
        <w:t>Proof-of-Concept-Studie zur Echtzeit-Sturzerkennung durch privacy-preserving Edge-AI mit Tiefenkamera in einem Parkinson-Spezialwohnheim über 6.272 Monitoring-Stunden.</w:t>
      </w:r>
    </w:p>
    <w:p>
      <w:r>
        <w:rPr>
          <w:b/>
        </w:rPr>
        <w:t xml:space="preserve">Ergebnis: </w:t>
      </w:r>
      <w:r>
        <w:t>Bei 74 bestätigten Stürzen erreichte die KI eine Sensitivität von 52,7 % (post-Update 67,6 %) gegenüber 28,4 % konventioneller Facility-Meldung; positive prädiktive Wertigkeit 45,3 % (post-Update 41,8 %); Video-Analyse zeigte krankheitsspezifische Sturzmuster (PD mit mehr kognitiv-exekutiven Komponenten, PSP mit Gewichtsverlagerungs-Defiziten).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Langzeitpflegeeinrichtung – Design auf europäische Pflege-Settings übertragbar, keine Cloud-Abhängigkeit</w:t>
      </w:r>
    </w:p>
    <w:p>
      <w:r>
        <w:rPr>
          <w:color w:val="5A7D3A"/>
          <w:sz w:val="18"/>
        </w:rPr>
        <w:t>https://pubmed.ncbi.nlm.nih.gov/42827797/</w:t>
      </w:r>
    </w:p>
    <w:p>
      <w:pPr>
        <w:pStyle w:val="Heading2"/>
      </w:pPr>
      <w:r>
        <w:t>Digitale Gesundheitsbildung zur Steigerung von Versicherungsschutz bei Studierenden: RDD-Analyse</w:t>
      </w:r>
    </w:p>
    <w:p>
      <w:r>
        <w:rPr>
          <w:i/>
          <w:color w:val="666666"/>
          <w:sz w:val="18"/>
        </w:rPr>
        <w:t>Wang S et al.  ·  Front Public Health  ·  18.09.2026  ·  PMID 42827689</w:t>
      </w:r>
    </w:p>
    <w:p>
      <w:r>
        <w:t>Quasi-experimentelle Studie mittels Regression-Discontinuity-Design zu Effekt einer campusweiten digitalen Gesundheitsaufklärung auf Versicherungsaktualisierung, Wissensstand und Kostenerstattungsquote bei Universitätsstudierenden.</w:t>
      </w:r>
    </w:p>
    <w:p>
      <w:r>
        <w:rPr>
          <w:b/>
        </w:rPr>
        <w:t xml:space="preserve">Ergebnis: </w:t>
      </w:r>
      <w:r>
        <w:t>Nach Intervention stiegen Versicherungs-Enrollment von 87,3 auf 98,5 % (β=0,112, p&lt;0,001), Wissensstand von 42,1 auf 93,6 % (β=0,515, p&lt;0,001), erfolgreiche Kostenerstattung von 87,2 auf 97,7 % (β=0,105, p&lt;0,001); Ablehnungsquote sank um ~43 % (von 17,6 auf 10,1 %, Risikodifferenz 7,5 Prozentpunkte); Kognition und Handlungsfähigkeit erklärten 72 % der Mediationseffekte.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(Shandong), aber Design und Erkenntnisse zur digitalen Gesundheitskommunikation übertragbar</w:t>
      </w:r>
    </w:p>
    <w:p>
      <w:r>
        <w:rPr>
          <w:color w:val="5A7D3A"/>
          <w:sz w:val="18"/>
        </w:rPr>
        <w:t>https://pubmed.ncbi.nlm.nih.gov/42827689/</w:t>
      </w:r>
    </w:p>
    <w:p>
      <w:pPr>
        <w:pStyle w:val="Heading2"/>
      </w:pPr>
      <w:r>
        <w:t>Machine Learning zur Vorhersage langfristigen Gewichtserhalts nach Fasten: Mikrobiom- und klinische Prädiktoren</w:t>
      </w:r>
    </w:p>
    <w:p>
      <w:r>
        <w:rPr>
          <w:i/>
          <w:color w:val="666666"/>
          <w:sz w:val="18"/>
        </w:rPr>
        <w:t>Kaufhold G et al.  ·  Genome Med  ·  16.09.2026  ·  PMID 42754908</w:t>
      </w:r>
    </w:p>
    <w:p>
      <w:r>
        <w:t>Randomisierte, wartelisten-kontrollierte Studie an 38 gesunden Erwachsenen mit 5-Tage-Fastenintervention und 12-Wochen-Follow-up; Machine-Learning-Modelle identifizierten Baseline-Prädiktoren des individuellen Gewichtsverlust-Ansprechens an Tag 84 und externe Validierung in drei unabhängigen Kohorten.</w:t>
      </w:r>
    </w:p>
    <w:p>
      <w:r>
        <w:rPr>
          <w:b/>
        </w:rPr>
        <w:t xml:space="preserve">Ergebnis: </w:t>
      </w:r>
      <w:r>
        <w:t>Modell kombinierend Mikrobiom und klinische Variablen (Faecalibacterium-Art, Oscillibacter sp., LDL-Cholesterin, systolischer Blutdruck) sagte Gewichtsverlust-Response vorhersehbar; Modell generalisierte auf drei externe Kohorten einschließlich Metabolisches-Syndrom-Patienten und Multiple-Sklerose-Patienten mit wiederholtem Fasten; Baseline-Mikrobiom-Diversität assoziiert mit postfastingem Mikrobindiversitäts-Wandel.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(Charité Berlin), prospektive Originaldaten, vergleichbare Bevölkerung</w:t>
      </w:r>
    </w:p>
    <w:p>
      <w:r>
        <w:rPr>
          <w:color w:val="5A7D3A"/>
          <w:sz w:val="18"/>
        </w:rPr>
        <w:t>https://pubmed.ncbi.nlm.nih.gov/42754908/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2026-10-05T06:00:00Z</dcterms:created>
  <dcterms:modified xsi:type="dcterms:W3CDTF">2026-10-05T06:00:00Z</dcterms:modified>
  <cp:category/>
</cp:coreProperties>
</file>