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08.10.2026  |  5 Studien  |  ki.m-vf.de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KI-gestützte Prognosevorhersage im Schlaganfall: Echtzeit-Validierung in Klinikroutine</w:t>
      </w:r>
    </w:p>
    <w:p>
      <w:r>
        <w:rPr>
          <w:i/>
          <w:color w:val="666666"/>
          <w:sz w:val="18"/>
        </w:rPr>
        <w:t>Rubiera M et al.  ·  BMJ Open  ·  07.10.2026  ·  PMID 42843886</w:t>
      </w:r>
    </w:p>
    <w:p>
      <w:r>
        <w:t>Prospektive Studie zur Echtzeit-Validierung eines KI-Systems für individualisierte 3-Monats-Outcomes nach Schlaganfall in Schattenmode an 3 europäischen Schlaganfallzentren; Messung der klinischen Machbarkeit, Usability und Vorhersagegüte beim hyperakuten Behandlungsprozess.</w:t>
      </w:r>
    </w:p>
    <w:p>
      <w:r>
        <w:rPr>
          <w:b/>
        </w:rPr>
        <w:t xml:space="preserve">Ergebnis: </w:t>
      </w:r>
      <w:r>
        <w:t>Studienprotokoll (Rekrutierung läuft); primäre Ergebnisse zu Machbarkeit, Usability und Vorhersagegüte waren zum Zeitpunkt der Publikation noch ausstehend. Sekundäre Endpunkte: Übereinstimmung zwischen KI-empfohlener und tatsächlicher Therapie sowie Validierung an 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europäische Zentren (Spanien, Deutschland, Israel), vergleichbare Klinikstrukturen.</w:t>
      </w:r>
    </w:p>
    <w:p>
      <w:r>
        <w:rPr>
          <w:color w:val="5A7D3A"/>
          <w:sz w:val="18"/>
        </w:rPr>
        <w:t>https://pubmed.ncbi.nlm.nih.gov/42843886/</w:t>
      </w:r>
    </w:p>
    <w:p>
      <w:pPr>
        <w:pStyle w:val="Heading2"/>
      </w:pPr>
      <w:r>
        <w:t>Telemedizin in österreichischen Gefängnissen: Qualitative Implementierungsstudie</w:t>
      </w:r>
    </w:p>
    <w:p>
      <w:r>
        <w:rPr>
          <w:i/>
          <w:color w:val="666666"/>
          <w:sz w:val="18"/>
        </w:rPr>
        <w:t>Doppler K et al.  ·  BMJ Open  ·  07.10.2026  ·  PMID 42843879</w:t>
      </w:r>
    </w:p>
    <w:p>
      <w:r>
        <w:t>Qualitative Studie mit 48 Interviews (35 Pflegekräfte, 3 Ärzte, 7 Direktoren, 3 Beamte) zur Integration von Telemedizin in Haftkrankenstationen bei Ärztemangel; Erfassung von Nutzung, Herausforderungen und Bedingungen für nachhaltige Skalierung.</w:t>
      </w:r>
    </w:p>
    <w:p>
      <w:r>
        <w:rPr>
          <w:b/>
        </w:rPr>
        <w:t xml:space="preserve">Ergebnis: </w:t>
      </w:r>
      <w:r>
        <w:t>Telemedizin bewährte sich für Rezepturionen, Follow-ups, Befundbesprechungen und Verwaltungsaufgaben. Emergente Notfälle und körperliche Untersuchungen waren ungeeignet. Pflegekräfte als zentrale operative Akteure: Arbeitsbelastung stieg (Koordination) oder sank (weniger externe Transfers) je nach Kontext. Erfolg hing ab von technischer Zuverlässigkeit, stabiler Zuordnung der Fernkliniker und deren Kenntnis der Gegebenheiten.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Sozialversicherungssystem, europäische Regulierung.</w:t>
      </w:r>
    </w:p>
    <w:p>
      <w:r>
        <w:rPr>
          <w:color w:val="5A7D3A"/>
          <w:sz w:val="18"/>
        </w:rPr>
        <w:t>https://pubmed.ncbi.nlm.nih.gov/42843879/</w:t>
      </w:r>
    </w:p>
    <w:p>
      <w:pPr>
        <w:pStyle w:val="Heading2"/>
      </w:pPr>
      <w:r>
        <w:t>LLM-gestützte Erfassung kognitiver Sorgen in Elektronischen Patientenakten: Echtdatenstudie</w:t>
      </w:r>
    </w:p>
    <w:p>
      <w:r>
        <w:rPr>
          <w:i/>
          <w:color w:val="666666"/>
          <w:sz w:val="18"/>
        </w:rPr>
        <w:t>Wang L et al.  ·  JMIR Aging  ·  07.10.2026  ·  PMID 42842937</w:t>
      </w:r>
    </w:p>
    <w:p>
      <w:r>
        <w:t>EHR-Observationsstudie bei 15.750 älteren Patienten (≥65 Jahre) mit normalen kognitiven Tests; LLM-gestützte NLP-Verarbeitung von Freitext-Notizen zur Identifikation dokumentierter kognitiver Sorgen und Analyse von Erfassungsdeterminanten.</w:t>
      </w:r>
    </w:p>
    <w:p>
      <w:r>
        <w:rPr>
          <w:b/>
        </w:rPr>
        <w:t xml:space="preserve">Ergebnis: </w:t>
      </w:r>
      <w:r>
        <w:t>Von 15.750 Patienten hatten 13,8% (n=2.175) dokumentierte kognitive Sorgen im Vorjahr in 1,2% der Notizen. Zweistufiges LLM-Pipeline (Med42-v2-8B + GPT-4o): Sensitivität 0,957, PPV 0,935, Spezifität 0,985, F1-Score 0,945. Stärkste Korrelate: Parkinson (aOR 5,29), TBI (aOR 4,63), Schlaganfall (aOR 3,46), Depression (aOR 1,54). Dokumentation seltener in benachteiligten Stadtvierteln (höherer Area Deprivation Index).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NLP-Methodik und Equity-Befunde sind übertragbar; Anwendung auf deutsche EHR-Systeme möglich.</w:t>
      </w:r>
    </w:p>
    <w:p>
      <w:r>
        <w:rPr>
          <w:color w:val="5A7D3A"/>
          <w:sz w:val="18"/>
        </w:rPr>
        <w:t>https://pubmed.ncbi.nlm.nih.gov/42842937/</w:t>
      </w:r>
    </w:p>
    <w:p>
      <w:pPr>
        <w:pStyle w:val="Heading2"/>
      </w:pPr>
      <w:r>
        <w:t>WeChat-Messaging für Medikamentenadhärenz nach Herzkatheter: Quasi-experimentelle Studie</w:t>
      </w:r>
    </w:p>
    <w:p>
      <w:r>
        <w:rPr>
          <w:i/>
          <w:color w:val="666666"/>
          <w:sz w:val="18"/>
        </w:rPr>
        <w:t>Fang Y et al.  ·  J Med Internet Res  ·  07.10.2026  ·  PMID 42842839</w:t>
      </w:r>
    </w:p>
    <w:p>
      <w:r>
        <w:t>Quasi-experimentelle Studie mit 92 Patienten nach perkutaner Koronarintervention (PCI) in China; 12-Wochen-Intervention mit Behavior-Change-Wheel-gerahmten WeChat-Remindern und theoriegestützten Botschaften zu Fähigkeit, Gelegenheit und Motivation.</w:t>
      </w:r>
    </w:p>
    <w:p>
      <w:r>
        <w:rPr>
          <w:b/>
        </w:rPr>
        <w:t xml:space="preserve">Ergebnis: </w:t>
      </w:r>
      <w:r>
        <w:t>Medikamentenadhärenz (MMAS-8): Intervention 7,40 vs. Kontrolle 6,22 (adjusted MD 1,18, 95% CI 0,96–1,40; p&lt;0,001). Sekundäre Outcomes: BMQ-Notwendigkeit (MD 1,62), BMQ-Sorgen (MD -3,25), Selbstwirksamkeit (MD 4,04), SAQ-Gesamtscore (MD 6,13; alle p&lt;0,001). Treatmentsatisfaction: kein signifikanter Unterschied. Per-Protocol und Differenzen-in-Differenzen-Analysen bestätigen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digital fortgeschrittenes Setting; Botschaftsrahmen und Behavior-Change-Ansatz sind auf Deutschland übertragbar.</w:t>
      </w:r>
    </w:p>
    <w:p>
      <w:r>
        <w:rPr>
          <w:color w:val="5A7D3A"/>
          <w:sz w:val="18"/>
        </w:rPr>
        <w:t>https://pubmed.ncbi.nlm.nih.gov/42842839/</w:t>
      </w:r>
    </w:p>
    <w:p>
      <w:pPr>
        <w:pStyle w:val="Heading2"/>
      </w:pPr>
      <w:r>
        <w:t>Digitale Gesundheitsinterventionen in der Onkologie: RE-AIM-Analyse der externen Validität</w:t>
      </w:r>
    </w:p>
    <w:p>
      <w:r>
        <w:rPr>
          <w:i/>
          <w:color w:val="666666"/>
          <w:sz w:val="18"/>
        </w:rPr>
        <w:t>Heifez M et al.  ·  Appl Psychol Health Well Being  ·  Okt. 2026  ·  PMID 42841441</w:t>
      </w:r>
    </w:p>
    <w:p>
      <w:r>
        <w:t>Systematische Übersicht über 191 RCTs und nicht-randomisierte Studien mit 29.907 Patienten und Betreuungspersonen zu digitalen Interventionen für psychologische und kognitive Aspekte bei Krebs; Bewertung mit RE-AIM-Framework zur Reichweite, Adoption und Verankerung im Alltag.</w:t>
      </w:r>
    </w:p>
    <w:p>
      <w:r>
        <w:rPr>
          <w:b/>
        </w:rPr>
        <w:t xml:space="preserve">Ergebnis: </w:t>
      </w:r>
      <w:r>
        <w:t>Reach, Effectiveness und Implementation wurden häufig berichtet, Adoption und Maintenance unterrepräsentiert. Trotz Berichte zu Effectiveness und Reach: begrenzte Evidenz zur externen Validität schränkt Skalierbarkeit ein. Schlüsselbefund: Fehlende Daten zu realer Übertragbarkeit und Nachhaltigkeit in Routineversorging.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 mit EU-Perspektive; Transfer auf Deutschland erfordert Stärkung der Implementierungsforschung.</w:t>
      </w:r>
    </w:p>
    <w:p>
      <w:r>
        <w:rPr>
          <w:color w:val="5A7D3A"/>
          <w:sz w:val="18"/>
        </w:rPr>
        <w:t>https://pubmed.ncbi.nlm.nih.gov/42841441/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