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30.09.2026  |  7 Studien  |  ki.m-vf.de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Transformer-Sprachmodelle erkennen Medikamentennamen-Tippfehler besser als Wörterbücher und GPT-4</w:t>
      </w:r>
    </w:p>
    <w:p>
      <w:r>
        <w:rPr>
          <w:i/>
          <w:color w:val="666666"/>
          <w:sz w:val="18"/>
        </w:rPr>
        <w:t>Lu J et al.  ·  JMIR Med Inform  ·  29.09.2026  ·  PMID 42809845</w:t>
      </w:r>
    </w:p>
    <w:p>
      <w:r>
        <w:t>Entwicklung und Validierung von BERT-basierten Modellen (BERTDrug, CharBERTDrug) für Erkennung von Schreibfehlern in Medikamentennamen; Training auf RxNorm-Corpus (69.824 Namen), externe Validierung auf Long-Term-Care-Datenbank (LTCDC, 3.586 Namen), Vergleich mit Dictionary-Baseline und GPT-4o.</w:t>
      </w:r>
    </w:p>
    <w:p>
      <w:r>
        <w:rPr>
          <w:b/>
        </w:rPr>
        <w:t xml:space="preserve">Ergebnis: </w:t>
      </w:r>
      <w:r>
        <w:t>BERTDrug F1-Score 0,859 (RxNorm-Test), CharBERTDrug F1 0,696 auf Out-of-Vocabulary-LTCDC-Daten (ROC-AUC 0,788). Beide übertroffen GPT-4o auf RxNorm-Test (GPT: F1 0,721); auf LTCDC-Minority-Terms (200) GPT besser. Superior für unbekannte Begriffe; Domain-Shift reduziert Vorteil von Domänen-Training.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RxNorm-Vokabular; Methode auf deutsche Arzneimittel-Nomenklaturen übertragbar</w:t>
      </w:r>
    </w:p>
    <w:p>
      <w:r>
        <w:rPr>
          <w:color w:val="5A7D3A"/>
          <w:sz w:val="18"/>
        </w:rPr>
        <w:t>https://pubmed.ncbi.nlm.nih.gov/42809845/</w:t>
      </w:r>
    </w:p>
    <w:p>
      <w:pPr>
        <w:pStyle w:val="Heading2"/>
      </w:pPr>
      <w:r>
        <w:t>Digitalisierungsreife und Krankenhausleistung in den Niederlanden: keine messbaren Verbesserungen ohne weitere Faktoren</w:t>
      </w:r>
    </w:p>
    <w:p>
      <w:r>
        <w:rPr>
          <w:i/>
          <w:color w:val="666666"/>
          <w:sz w:val="18"/>
        </w:rPr>
        <w:t>Remus P et al.  ·  J Med Internet Res  ·  29.09.2026  ·  PMID 42809839</w:t>
      </w:r>
    </w:p>
    <w:p>
      <w:r>
        <w:t>Längsstudienuntersuchung des Zusammenhangs zwischen elektronischer Patientenaktenfunktionalität (HIMSS EMRAM-Zertifizierung Stufe 6/7) und Finanz-, Betriebs- und Personalindikatoren in 66–74 niederländischen Krankenhäusern (2017–2023).</w:t>
      </w:r>
    </w:p>
    <w:p>
      <w:r>
        <w:rPr>
          <w:b/>
        </w:rPr>
        <w:t xml:space="preserve">Ergebnis: </w:t>
      </w:r>
      <w:r>
        <w:t>Fortgeschrittene digitale Reife war nicht signifikant mit verbesserter finanzieller Rentabilität, Patientendurchsatz, Verweildauer oder Personalabsentismus assoziiert (nach Holm-Bonferroni-Korrektur alle p&gt;0,05). Dies stützt empirisch das IT-Produktivitätsparadoxon: technische Reife allein ist notwendig, aber nicht ausreichend für Leistungsgewinne.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Vergleichbare Sozialversicherung, hohe Digitalisierungsquote wie Deutschland</w:t>
      </w:r>
    </w:p>
    <w:p>
      <w:r>
        <w:rPr>
          <w:color w:val="5A7D3A"/>
          <w:sz w:val="18"/>
        </w:rPr>
        <w:t>https://pubmed.ncbi.nlm.nih.gov/42809839/</w:t>
      </w:r>
    </w:p>
    <w:p>
      <w:pPr>
        <w:pStyle w:val="Heading2"/>
      </w:pPr>
      <w:r>
        <w:t>KI-gestützte Kodierung digitaler täglicher Logs und Reflexionen in verteilten klinischen Clerkships</w:t>
      </w:r>
    </w:p>
    <w:p>
      <w:r>
        <w:rPr>
          <w:i/>
          <w:color w:val="666666"/>
          <w:sz w:val="18"/>
        </w:rPr>
        <w:t>Ozaki N et al.  ·  JMIR Form Res  ·  29.09.2026  ·  PMID 42809836</w:t>
      </w:r>
    </w:p>
    <w:p>
      <w:r>
        <w:t>Explorative Studie mit 112 japanischen Medizin-Studierenden (5. Jahr) in 3-Wochen-Clerkships an Standorten mit/ohne Fakultäts-Schulung; Erfassung alltäglicher klinischer Aktivitäten per Google-Spreadsheet-Daily-Log; AI-unterstützte Kodierung von Reflexionsblättern mit menschlicher Verifizierung.</w:t>
      </w:r>
    </w:p>
    <w:p>
      <w:r>
        <w:rPr>
          <w:b/>
        </w:rPr>
        <w:t xml:space="preserve">Ergebnis: </w:t>
      </w:r>
      <w:r>
        <w:t>Tägliche Log-Einträge in 99,6% (1.491/1.497) der Studierentage verfügbar. Studierende an Standorten mit trainierten Fachpersonen berichteten mehr Untersuchungs-/Risikoaktivitäten durchgeführt. Reflexionsheets lieferten komplementäre Informationen; KI-Komponente erforderte Menschenüberprüfung.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Workflow-Ansatz für deutsche medizinische Ausbildung relevant</w:t>
      </w:r>
    </w:p>
    <w:p>
      <w:r>
        <w:rPr>
          <w:color w:val="5A7D3A"/>
          <w:sz w:val="18"/>
        </w:rPr>
        <w:t>https://pubmed.ncbi.nlm.nih.gov/42809836/</w:t>
      </w:r>
    </w:p>
    <w:p>
      <w:pPr>
        <w:pStyle w:val="Heading2"/>
      </w:pPr>
      <w:r>
        <w:t>Machine Learning priorisiert hochgefährliche Patientensicherheitsereignisse zur Institutionellen Untersuchung</w:t>
      </w:r>
    </w:p>
    <w:p>
      <w:r>
        <w:rPr>
          <w:i/>
          <w:color w:val="666666"/>
          <w:sz w:val="18"/>
        </w:rPr>
        <w:t>Chen H et al.  ·  JMIR Med Inform  ·  29.09.2026  ·  PMID 42809834</w:t>
      </w:r>
    </w:p>
    <w:p>
      <w:r>
        <w:t>Entwicklung und Validierung von Ranking-basierten Machine-Learning-Modellen (Feature- und Transformer-basiert) zur Triage von 101.239 Patientensicherheitsmeldungen aus kanadischem Universitätsklinikum 2017–2025; Vergleich mit klassifizierungsbasierten Ansätzen und manueller Triage.</w:t>
      </w:r>
    </w:p>
    <w:p>
      <w:r>
        <w:rPr>
          <w:b/>
        </w:rPr>
        <w:t xml:space="preserve">Ergebnis: </w:t>
      </w:r>
      <w:r>
        <w:t>LLAMA3.1-RA (Large Language Model + Ranking) erzielte mittlere durchschnittliche Präzision 0,94 (95%-KI 0,90–0,98), 22,1% relative Verbesserung gegenüber bester Klassifizierung (LLAMA3.1-CL: 0,77). Modell identifizierte 83,0% hochgefährlicher Fälle in Top 200 vs. 41,0% durch Reporter-Schweregrad-Baseline.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Versicherungssystem; Logik auf deutsche Meldesysteme übertragbar</w:t>
      </w:r>
    </w:p>
    <w:p>
      <w:r>
        <w:rPr>
          <w:color w:val="5A7D3A"/>
          <w:sz w:val="18"/>
        </w:rPr>
        <w:t>https://pubmed.ncbi.nlm.nih.gov/42809834/</w:t>
      </w:r>
    </w:p>
    <w:p>
      <w:pPr>
        <w:pStyle w:val="Heading2"/>
      </w:pPr>
      <w:r>
        <w:t>Implementierungsbereitschaft für KI-gestützte Sprach-Elektronische Patientenakten in afrikanischen Ressourcen-limitierten Gesundheitssystemen</w:t>
      </w:r>
    </w:p>
    <w:p>
      <w:r>
        <w:rPr>
          <w:i/>
          <w:color w:val="666666"/>
          <w:sz w:val="18"/>
        </w:rPr>
        <w:t>Desalegn M et al.  ·  JMIR Med Inform  ·  29.09.2026  ·  PMID 42809832</w:t>
      </w:r>
    </w:p>
    <w:p>
      <w:r>
        <w:t>Qualitative Multisite-Studie mit 43 äthiopischen Gesundheitsfachpersonen (April 2026); Erfassung von Wahrnehmungen, erwarteten Vorteilen und Bedenken zu Voice-EMRs mittels Semistrukturierter Interviews; Analyse mit CFIR, TAM und NPT-Rahmen.</w:t>
      </w:r>
    </w:p>
    <w:p>
      <w:r>
        <w:rPr>
          <w:b/>
        </w:rPr>
        <w:t xml:space="preserve">Ergebnis: </w:t>
      </w:r>
      <w:r>
        <w:t>Vier übergeordnete Themen: (1) erwartete klinische Vorteile (weniger Dokumentationsaufwand), aber Bedenken zu Automatisierungsfehlern und Akzentfehlern; (2) Usability-Barrieren (Schnittstellen-Komplexität); (3) erwartete Workflowverschiebungen; (4) Governance-Bedenken (Datenschutz, Zustimmung, Überwachungsfurcht) als zentral für Vertrauen.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 mit deutlich anderer Infrastruktur; Befunde zeigen Implementierungserschwernisse in Low-Resource-Settings</w:t>
      </w:r>
    </w:p>
    <w:p>
      <w:r>
        <w:rPr>
          <w:color w:val="5A7D3A"/>
          <w:sz w:val="18"/>
        </w:rPr>
        <w:t>https://pubmed.ncbi.nlm.nih.gov/42809832/</w:t>
      </w:r>
    </w:p>
    <w:p>
      <w:pPr>
        <w:pStyle w:val="Heading2"/>
      </w:pPr>
      <w:r>
        <w:t>KI-gestützte virtuelle Patienteninteraktionen verbessern Fachsprachenprüfung bei internationalen Pflegefachpersonen</w:t>
      </w:r>
    </w:p>
    <w:p>
      <w:r>
        <w:rPr>
          <w:i/>
          <w:color w:val="666666"/>
          <w:sz w:val="18"/>
        </w:rPr>
        <w:t>Ullrich S et al.  ·  GMS J Med Educ  ·  15.09.2026  ·  PMID 42807201</w:t>
      </w:r>
    </w:p>
    <w:p>
      <w:r>
        <w:t>Kontrollierte Studie mit 25 international ausgebildeten Pflegefachpersonen während Anerkennungsverfahren in Deutschland; Interventionsgruppe (n=13) mit zusätzlichem Zugang zu Simulationstool mit virtuellen Patienten und Kolleg:innen neben Standard-600-Stunden-Sprachtraining.</w:t>
      </w:r>
    </w:p>
    <w:p>
      <w:r>
        <w:rPr>
          <w:b/>
        </w:rPr>
        <w:t xml:space="preserve">Ergebnis: </w:t>
      </w:r>
      <w:r>
        <w:t>Durchfallquote B2-Pflege-Prüfung 66,7% (Kontrolle) vs. 25,0% (Intervention), relative Reduktion 62,5%. Klinische Vorgesetzte berichteten erhöhter Sicherheit und Kompetenz in Team- und Patienteninteraktionen. Abbruchquoten nicht erhöht (1/13 vs. 2/12).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direkter Anwendungskontext Anerkennungsverfahren</w:t>
      </w:r>
    </w:p>
    <w:p>
      <w:r>
        <w:rPr>
          <w:color w:val="5A7D3A"/>
          <w:sz w:val="18"/>
        </w:rPr>
        <w:t>https://pubmed.ncbi.nlm.nih.gov/42807201/</w:t>
      </w:r>
    </w:p>
    <w:p>
      <w:pPr>
        <w:pStyle w:val="Heading2"/>
      </w:pPr>
      <w:r>
        <w:t>Social Prescribing für Kinder und Jugendliche im UK: Zugang und Versorgungswege aus elektronischen Gesundheitsakten</w:t>
      </w:r>
    </w:p>
    <w:p>
      <w:r>
        <w:rPr>
          <w:i/>
          <w:color w:val="666666"/>
          <w:sz w:val="18"/>
        </w:rPr>
        <w:t>Bone JK et al.  ·  BMJ Open  ·  28.09.2026  ·  PMID 42805652</w:t>
      </w:r>
    </w:p>
    <w:p>
      <w:r>
        <w:t>Datenanalyse von 52.585 Kindern und Jugendlichen (4–25 Jahre, Mittelwert 20,04 Jahre), die 2017–2025 zu Social-Prescribing-Diensten im UK überwiesen wurden; Nutzung der Access-Elemental-Plattform.</w:t>
      </w:r>
    </w:p>
    <w:p>
      <w:r>
        <w:rPr>
          <w:b/>
        </w:rPr>
        <w:t xml:space="preserve">Ergebnis: </w:t>
      </w:r>
      <w:r>
        <w:t>91% lebten in urbanen Gebieten, 58% in depriviertesten Dezilen; 44% Überweisungen wegen psychischer Gesundheit; durchschnittlich 4,64 Kontakte pro Person (SD 7,70) à 66 Min (SD 108), 34% Weitervermittlung in Community-Support. Anteil Kinder unter 18 Jahren niedrig und sinkend.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Struktur vergleichbar zu deutschen kommunalen Hilfsangeboten</w:t>
      </w:r>
    </w:p>
    <w:p>
      <w:r>
        <w:rPr>
          <w:color w:val="5A7D3A"/>
          <w:sz w:val="18"/>
        </w:rPr>
        <w:t>https://pubmed.ncbi.nlm.nih.gov/42805652/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