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13.09.2026  |  6 Studien  |  ki.m-vf.de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KI-Algorithmus für Östrogenrezeptor-Scoring: Vergleich mit Patholog*innen-Konsens</w:t>
      </w:r>
    </w:p>
    <w:p>
      <w:r>
        <w:rPr>
          <w:i/>
          <w:color w:val="666666"/>
          <w:sz w:val="18"/>
        </w:rPr>
        <w:t>Pai K et al.  ·  F1000Res  ·  03.08.2026  ·  PMID 42729012</w:t>
      </w:r>
    </w:p>
    <w:p>
      <w:r>
        <w:t>Vergleichende Studie eines KI-Algorithmus (Mimansa) gegen manuelle Bewertung durch vier Patholog*innen (zwei senior, zwei junior) für Östrogenrezeptor (ER) und Progesteronrezeptor (PR) Immunhistochemie bei 297 ER- und 293 PR-Fällen.</w:t>
      </w:r>
    </w:p>
    <w:p>
      <w:r>
        <w:rPr>
          <w:b/>
        </w:rPr>
        <w:t xml:space="preserve">Ergebnis: </w:t>
      </w:r>
      <w:r>
        <w:t>Für ER: KI-Übereinstimmung mit Patholog*innen-Konsens 97%, Kappa=0,91. KI erkannte alle starken positiven Fälle; zeigte aber 4 false negatives und 10 false positives bei niedrig-positiven Fällen, identifizierte jedoch 2 true positive Fälle, die alle Patholog*innen übersehen hatten. Für PR: KI 92% Übereinstimmung, Kappa=0,84, mit 16 false negatives in Niedrig-Score-Gruppe. KI-Leistung comparable zu senior-Patholog*innen, übertrifft junior-Patholog*innen.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Pathologiebefunde vergleichbar strukturiert; Modell als 'supportive second reader' einsetzbar</w:t>
      </w:r>
    </w:p>
    <w:p>
      <w:r>
        <w:rPr>
          <w:color w:val="5A7D3A"/>
          <w:sz w:val="18"/>
        </w:rPr>
        <w:t>https://pubmed.ncbi.nlm.nih.gov/42729012/</w:t>
      </w:r>
    </w:p>
    <w:p>
      <w:pPr>
        <w:pStyle w:val="Heading2"/>
      </w:pPr>
      <w:r>
        <w:t>KI-System zur Angiodysplasie-Detektion und Dokumentationsprüfung in Kolonoskopie</w:t>
      </w:r>
    </w:p>
    <w:p>
      <w:r>
        <w:rPr>
          <w:i/>
          <w:color w:val="666666"/>
          <w:sz w:val="18"/>
        </w:rPr>
        <w:t>Kafetzis I et al.  ·  United European Gastroenterol J  ·  Sept. 2026  ·  PMID 42728872</w:t>
      </w:r>
    </w:p>
    <w:p>
      <w:r>
        <w:t>Entwicklung und Validierung eines lokal eingesetzten Deep-Learning-Systems aus Computer-Vision-Modell und Large Language Model zur Erkennung kolischer Angiodysplasien und Überprüfung ihrer Erfassung in Berichten.</w:t>
      </w:r>
    </w:p>
    <w:p>
      <w:r>
        <w:rPr>
          <w:b/>
        </w:rPr>
        <w:t xml:space="preserve">Ergebnis: </w:t>
      </w:r>
      <w:r>
        <w:t>Computer-Vision-Modell: Sensitivität 84,4%, Spezifität 95,9%, Genauigkeit 94,5% in externer Validierung (3.534 Bilder). LLM zur Dokumentationsprüfung: Sensitivität 97,7%, Spezifität 92,4%. System identifizierte 88 Fälle mit sichtbaren, aber nicht dokumentierten Befunden in 126 Videos (5 ärztlich gemeldet vs. 23 durch System erkannt).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Universitätskliniken; lokale Bereitstellung wahrt Datenschutz</w:t>
      </w:r>
    </w:p>
    <w:p>
      <w:r>
        <w:rPr>
          <w:color w:val="5A7D3A"/>
          <w:sz w:val="18"/>
        </w:rPr>
        <w:t>https://pubmed.ncbi.nlm.nih.gov/42728872/</w:t>
      </w:r>
    </w:p>
    <w:p>
      <w:pPr>
        <w:pStyle w:val="Heading2"/>
      </w:pPr>
      <w:r>
        <w:t>Wirksamkeit von DiGAs bei Depression: Metaanalyse von 17 RCTs in Deutschland</w:t>
      </w:r>
    </w:p>
    <w:p>
      <w:r>
        <w:rPr>
          <w:i/>
          <w:color w:val="666666"/>
          <w:sz w:val="18"/>
        </w:rPr>
        <w:t>Schmitz A et al.  ·  Sci Rep  ·  11.09.2026  ·  PMID 42728340</w:t>
      </w:r>
    </w:p>
    <w:p>
      <w:r>
        <w:t>Systematische Übersicht und Metaanalyse zur Wirksamkeit verordnungsfähiger digitaler Anwendungen (DiGAs) bei Depression und generalisierter Angststörung mittels 19 RCTs mit 4.078 Teilnehmern.</w:t>
      </w:r>
    </w:p>
    <w:p>
      <w:r>
        <w:rPr>
          <w:b/>
        </w:rPr>
        <w:t xml:space="preserve">Ergebnis: </w:t>
      </w:r>
      <w:r>
        <w:t>Für Depression zeigte sich eine signifikante Symptomreduktion unmittelbar nach der Intervention (SMD=−0,49; 95%-KI −0,65 bis −0,32) und im Follow-up (SMD=−0,35; 95%-KI −0,46 bis −0,29). Die Evidenz wird jedoch stark durch wenige Apps (insbesondere Deprexis) geprägt; Generalisierbarkeit auf alle DiGAs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 und Gesundheitssystem; begrenzte Aussagekraft durch Fokus auf einzelne Apps</w:t>
      </w:r>
    </w:p>
    <w:p>
      <w:r>
        <w:rPr>
          <w:color w:val="5A7D3A"/>
          <w:sz w:val="18"/>
        </w:rPr>
        <w:t>https://pubmed.ncbi.nlm.nih.gov/42728340/</w:t>
      </w:r>
    </w:p>
    <w:p>
      <w:pPr>
        <w:pStyle w:val="Heading2"/>
      </w:pPr>
      <w:r>
        <w:t>Wirksamkeit tragbarer Digitaler Therapeutika gegen Insomnie: Metaanalyse von 16 RCTs</w:t>
      </w:r>
    </w:p>
    <w:p>
      <w:r>
        <w:rPr>
          <w:i/>
          <w:color w:val="666666"/>
          <w:sz w:val="18"/>
        </w:rPr>
        <w:t>Zhu W et al.  ·  J Med Internet Res  ·  11.09.2026  ·  PMID 42727109</w:t>
      </w:r>
    </w:p>
    <w:p>
      <w:r>
        <w:t>Systematische Übersicht und Metaanalyse zur Wirksamkeit tragbarer digitaler Interventionen (Wearables) für Schlafstörungen in Erwachsenen mit mindestens 1 Woche Interventionsdauer, 16 RCTs mit 910 Teilnehmern.</w:t>
      </w:r>
    </w:p>
    <w:p>
      <w:r>
        <w:rPr>
          <w:b/>
        </w:rPr>
        <w:t xml:space="preserve">Ergebnis: </w:t>
      </w:r>
      <w:r>
        <w:t>Signifikante Reduktion der objektiven Schlaf-Latenz (MD −4,52 Min; 95%-KI −8,38 bis −0,67), Verbesserung der subjektiven Schlafeffizienz (MD 2,00%, 95%-KI 1,90–2,11%) und gesamte Schlafdauer (MD 19,11 Min; 95%-KI 2,98–35,24). Kein signifikanter Effekt auf Insomnie-Severity-Index insgesamt. GRADE-Gewissheit: moderat bis hoch. Ergebnisse zeigen begrenzte, nicht sichere Vorteile; Wearables als Adjunktion zu kognitiver Verhaltenstherapie, nicht als Ersatz geeignet.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europäische und nordamerikanische RCTs; Gerätetypen international ähnlich</w:t>
      </w:r>
    </w:p>
    <w:p>
      <w:r>
        <w:rPr>
          <w:color w:val="5A7D3A"/>
          <w:sz w:val="18"/>
        </w:rPr>
        <w:t>https://pubmed.ncbi.nlm.nih.gov/42727109/</w:t>
      </w:r>
    </w:p>
    <w:p>
      <w:pPr>
        <w:pStyle w:val="Heading2"/>
      </w:pPr>
      <w:r>
        <w:t>Therapeuten-Skeptizismus und Anpassung an Telemedizin: qualitative Studie mit KI-Perspektive</w:t>
      </w:r>
    </w:p>
    <w:p>
      <w:r>
        <w:rPr>
          <w:i/>
          <w:color w:val="666666"/>
          <w:sz w:val="18"/>
        </w:rPr>
        <w:t>Parri LA et al.  ·  JMIR Form Res  ·  11.09.2026  ·  PMID 42727074</w:t>
      </w:r>
    </w:p>
    <w:p>
      <w:r>
        <w:t>Qualitative Studie mit sechs britischen Psychotherapeuten zu ihrer Anpassung an erzwungene Videoteletherapie während COVID-19, mit Implikationen für KI-gestützte Versorgung.</w:t>
      </w:r>
    </w:p>
    <w:p>
      <w:r>
        <w:rPr>
          <w:b/>
        </w:rPr>
        <w:t xml:space="preserve">Ergebnis: </w:t>
      </w:r>
      <w:r>
        <w:t>Therapeuten überarbeiteten initial kritische Annahmen: Sie unterschieden Implementierungsprobleme von Medieneigenschaften, erkannten Affordanzen und Grenzen von Videotherapie und entwickelten differenzierte Sichtweisen zum Einsatz. Befund: Teletherapie wurde akzeptabel, aber nicht äquivalent zu persönlicher Behandlung befunden. Therapiebeziehung erfordert bewusste Anpassung, nicht nur Tool-Adoption.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UK-Kontext; Befunde zu Bedingungen erfolgreicher Implementierung übertragbar</w:t>
      </w:r>
    </w:p>
    <w:p>
      <w:r>
        <w:rPr>
          <w:color w:val="5A7D3A"/>
          <w:sz w:val="18"/>
        </w:rPr>
        <w:t>https://pubmed.ncbi.nlm.nih.gov/42727074/</w:t>
      </w:r>
    </w:p>
    <w:p>
      <w:pPr>
        <w:pStyle w:val="Heading2"/>
      </w:pPr>
      <w:r>
        <w:t>Digitale Gesundheitsanwendungen in Schwangerenbetreuung: KI-gestützte Gestationsalter-Schätzung in Afrika</w:t>
      </w:r>
    </w:p>
    <w:p>
      <w:r>
        <w:rPr>
          <w:i/>
          <w:color w:val="666666"/>
          <w:sz w:val="18"/>
        </w:rPr>
        <w:t>Liang M et al.  ·  ACS Appl Mater Interfaces  ·  11.09.2026  ·  PMID 42727043</w:t>
      </w:r>
    </w:p>
    <w:p>
      <w:r>
        <w:t>Prospektive Multizenter-Kohortenstudie zur Validierung eines KI-Algorithmus für Gestationsalter-Schätzung mittels Handheld-Ultraschall mit KI-Unterstützung bei 969 Schwangeren in Ghana, Kenia und Südafrika (PEARLS-Studie).</w:t>
      </w:r>
    </w:p>
    <w:p>
      <w:r>
        <w:rPr>
          <w:b/>
        </w:rPr>
        <w:t xml:space="preserve">Ergebnis: </w:t>
      </w:r>
      <w:r>
        <w:t>Studienprotokoll beschreibt geplante Validierung eines KI-Systems (Intelligent Ultrasound ScanNav FetalCheck) gegen Standard-Biometrie in erstem und zweitem Trimenon. Sekundärziel ist Eignung für groß angelegte Einsätze in Ländern mit limitiertem Ultraschall-Zugang zur Präeklampsie-Risikobestimmung.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 mit deutlich niedrigerem Ultraschall-Zugang; Ansatz für LMIC-Versorgung relevant</w:t>
      </w:r>
    </w:p>
    <w:p>
      <w:r>
        <w:rPr>
          <w:color w:val="5A7D3A"/>
          <w:sz w:val="18"/>
        </w:rPr>
        <w:t>https://pubmed.ncbi.nlm.nih.gov/42727043/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