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24.09.2026  |  6 Studien  |  ki.m-vf.de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KI-gestützte Beatmungsunterstützung in der Intensivmedizin: Vergleich von Empfehlungen mit Versorgungspraxis</w:t>
      </w:r>
    </w:p>
    <w:p>
      <w:r>
        <w:rPr>
          <w:i/>
          <w:color w:val="666666"/>
          <w:sz w:val="18"/>
        </w:rPr>
        <w:t>Theilen R et al.  ·  BMJ Open  ·  23.09.2026  ·  PMID 42778255</w:t>
      </w:r>
    </w:p>
    <w:p>
      <w:r>
        <w:t>Prospektive multizentrische Studie zur Validierung des IntelliLung-Systems, das mittels KI kontinuierlich Beatmungsparameter analysiert und Optimierungsempfehlungen abgibt, anhand von Patientendaten aus Deutschland, Spanien, Polen und weiteren europäischen Zentren.</w:t>
      </w:r>
    </w:p>
    <w:p>
      <w:r>
        <w:rPr>
          <w:b/>
        </w:rPr>
        <w:t xml:space="preserve">Ergebnis: </w:t>
      </w:r>
      <w:r>
        <w:t>Primäre Endpunkte: Übereinstimmung zwischen KI-Empfehlungen und tatsächlich eingestellten Beatmungsparametern für PEEP, FiO₂, Atemfrequenz und Tidalvolumen; sekundäre Endpunkte einschließlich beatmungsfreier Tage und klinischer Entscheidungsfindung.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Universitätsklinikum und europäische Partner, direkt vergleichbar</w:t>
      </w:r>
    </w:p>
    <w:p>
      <w:r>
        <w:rPr>
          <w:color w:val="5A7D3A"/>
          <w:sz w:val="18"/>
        </w:rPr>
        <w:t>https://pubmed.ncbi.nlm.nih.gov/42778255/</w:t>
      </w:r>
    </w:p>
    <w:p>
      <w:pPr>
        <w:pStyle w:val="Heading2"/>
      </w:pPr>
      <w:r>
        <w:t>Akzeptanz humanoid-sozialer Roboter durch Pflegeleistende: Querschnittsstudie mit 475 polnischen Pflegestudierenden</w:t>
      </w:r>
    </w:p>
    <w:p>
      <w:r>
        <w:rPr>
          <w:i/>
          <w:color w:val="666666"/>
          <w:sz w:val="18"/>
        </w:rPr>
        <w:t>Osypka K et al.  ·  Front Public Health  ·  08.09.2026  ·  PMID 42774093</w:t>
      </w:r>
    </w:p>
    <w:p>
      <w:r>
        <w:t>Befragung von Pflegestudierenden (Bachelor und Master) zur Wahrnehmung des TIAGo-Roboters nach standardisiertem Video; Vergleich zwischen erwerbstätigen (n=107) und nicht-erwerbstätigen (n=368) Studierenden mittels multipler logistischer Regression.</w:t>
      </w:r>
    </w:p>
    <w:p>
      <w:r>
        <w:rPr>
          <w:b/>
        </w:rPr>
        <w:t xml:space="preserve">Ergebnis: </w:t>
      </w:r>
      <w:r>
        <w:t>Gesamteinstellungen positiv; Assistenzfunktionen besser bewertet als Begleitfunktionen. Erwerbstätigkeit als unabhängiger Prädiktor: Berufstätige Studierende signifikant günstigere Haltung zu sozialen Funktionen (p&lt;0,05), höhere Einschätzung der Belebheit. Alter und subjektive Technologiekompetenz weitere unabhängige 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Ausbildungsstrukturen und Personalmangel-Kontext</w:t>
      </w:r>
    </w:p>
    <w:p>
      <w:r>
        <w:rPr>
          <w:color w:val="5A7D3A"/>
          <w:sz w:val="18"/>
        </w:rPr>
        <w:t>https://pubmed.ncbi.nlm.nih.gov/42774093/</w:t>
      </w:r>
    </w:p>
    <w:p>
      <w:pPr>
        <w:pStyle w:val="Heading2"/>
      </w:pPr>
      <w:r>
        <w:t>Algorithmus zur automatischen Klassifikation von Sichelzellerkrankungen aus klinischen Berichten: Validierung in fünf französischen Kliniken</w:t>
      </w:r>
    </w:p>
    <w:p>
      <w:r>
        <w:rPr>
          <w:i/>
          <w:color w:val="666666"/>
          <w:sz w:val="18"/>
        </w:rPr>
        <w:t>Azoyan L et al.  ·  J Med Syst  ·  23.09.2026  ·  PMID 42773269</w:t>
      </w:r>
    </w:p>
    <w:p>
      <w:r>
        <w:t>Entwicklung eines NLP-Algorithmus zur Extraktion und Klassifikation von Sichelzellerkrankungs-Subtypen aus unstrukturierten klinischen Berichten; validiert an 10.868 Patienten mit 561.924 Dokumenten aus fünf Pariser Universitätskliniken.</w:t>
      </w:r>
    </w:p>
    <w:p>
      <w:r>
        <w:rPr>
          <w:b/>
        </w:rPr>
        <w:t xml:space="preserve">Ergebnis: </w:t>
      </w:r>
      <w:r>
        <w:t>Algorithmus verarbeitete alle Dokumente in fünf Minuten; positive Vorhersagekraft (PPV) 94,0% (95% CI 92,6–95,4) für Klassifikation in Subtypen SS, SC, Sβ⁺, Sβ⁰; ICD-10-basierte Strategien allein nur 58,1–88,3% PPV. Keine klinisch relevante Fehlklassifikation zwischen benigne und maligne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EU-Dokumentationspflichten und elektronische Gesundheitssysteme</w:t>
      </w:r>
    </w:p>
    <w:p>
      <w:r>
        <w:rPr>
          <w:color w:val="5A7D3A"/>
          <w:sz w:val="18"/>
        </w:rPr>
        <w:t>https://pubmed.ncbi.nlm.nih.gov/42773269/</w:t>
      </w:r>
    </w:p>
    <w:p>
      <w:pPr>
        <w:pStyle w:val="Heading2"/>
      </w:pPr>
      <w:r>
        <w:t>Standards und Werkzeuge für sekundäre Nutzung von Gesundheitsdaten: Konsens-Assessment im IDERHA-Projekt</w:t>
      </w:r>
    </w:p>
    <w:p>
      <w:r>
        <w:rPr>
          <w:i/>
          <w:color w:val="666666"/>
          <w:sz w:val="18"/>
        </w:rPr>
        <w:t>Shoshtarian Malak J et al.  ·  JMIR Form Res  ·  22.09.2026  ·  PMID 42772747</w:t>
      </w:r>
    </w:p>
    <w:p>
      <w:r>
        <w:t>Exploratives Bewertungs- und Machbarkeitsstudium zur Harmonisierung von Gesundheitsdatenstandards und -werkzeugen für Sekundärnutzung in Forschung und HTA; Fokus auf FAIR-Prinzipien und europäische Datenschutzanforderungen.</w:t>
      </w:r>
    </w:p>
    <w:p>
      <w:r>
        <w:rPr>
          <w:b/>
        </w:rPr>
        <w:t xml:space="preserve">Ergebnis: </w:t>
      </w:r>
      <w:r>
        <w:t>Empfohlenes Set von Standards basierend auf OMOP-CDM mit etablierten Erweiterungen; Machbarkeitstests mit synthetischen OMOP-Daten zeigten Eignung der Harmonisierungs-Workflows. Lungenkrebsfallstudie demonstrierte erfolgreiche Harmonisierung heterogener Datensätze für föderierte Analyse. Integration in IDERHA-Umgebung verbesserte FAIR-Adhärenz substanziell—besonders bei Metadaten-Vollständigkeit, Interoperabilität und Zugänglichkeit.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mehrere europäische Länder im IDERHA-Konsortium vertreten; unmittelbar auf EHDS-Implementierung anwendbar</w:t>
      </w:r>
    </w:p>
    <w:p>
      <w:r>
        <w:rPr>
          <w:color w:val="5A7D3A"/>
          <w:sz w:val="18"/>
        </w:rPr>
        <w:t>https://pubmed.ncbi.nlm.nih.gov/42772747/</w:t>
      </w:r>
    </w:p>
    <w:p>
      <w:pPr>
        <w:pStyle w:val="Heading2"/>
      </w:pPr>
      <w:r>
        <w:t>Telemedizinangebot und digitale Ungleichheit in Polen: Nationale Querschnittserhebung nach Pandemie</w:t>
      </w:r>
    </w:p>
    <w:p>
      <w:r>
        <w:rPr>
          <w:i/>
          <w:color w:val="666666"/>
          <w:sz w:val="18"/>
        </w:rPr>
        <w:t>Biesiada A et al.  ·  J Med Internet Res  ·  22.09.2026  ·  PMID 42771889</w:t>
      </w:r>
    </w:p>
    <w:p>
      <w:r>
        <w:t>Landesweite Online-Befragung zur Nutzung von Telemedizin und eHealth-Tools unter 820.000 erwachsenen Polen post-pandemisch; Analyse der Prädiktoren und Zugangsbarrieren nach Soziodemografie und Region.</w:t>
      </w:r>
    </w:p>
    <w:p>
      <w:r>
        <w:rPr>
          <w:b/>
        </w:rPr>
        <w:t xml:space="preserve">Ergebnis: </w:t>
      </w:r>
      <w:r>
        <w:t>49,7% (407.502/820.000) nutzten Telemedizin mindestens einmal; Telefon-Konsultationen häufigster (36,3%), Video selten (7,3%); E-Rezepte 72,6%, E-Überweisungen 53,4%, Mobile Apps nur 20,3%. Bildung und Urbanisierung stärkste Prädiktoren: Master-Absolventen 2,2-fach höhere Odds für Internet-Patientenportal als Sekundarschule; Großstädter &gt;500.000 Einwohner 1,5-fach höhere Odds für Telemedizin.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ähnliche Sozialversicherungsstruktur, vergleichbare Digitalisierungsstufe</w:t>
      </w:r>
    </w:p>
    <w:p>
      <w:r>
        <w:rPr>
          <w:color w:val="5A7D3A"/>
          <w:sz w:val="18"/>
        </w:rPr>
        <w:t>https://pubmed.ncbi.nlm.nih.gov/42771889/</w:t>
      </w:r>
    </w:p>
    <w:p>
      <w:pPr>
        <w:pStyle w:val="Heading2"/>
      </w:pPr>
      <w:r>
        <w:t>Patientenbeteiligung in Pharmakoepidemiologie-Studien mit administrativen Datenbanken: Machbarkeitsstudie Frankreich</w:t>
      </w:r>
    </w:p>
    <w:p>
      <w:r>
        <w:rPr>
          <w:i/>
          <w:color w:val="666666"/>
          <w:sz w:val="18"/>
        </w:rPr>
        <w:t>Rigoureau J et al.  ·  Health Expect  ·  Okt. 2026  ·  PMID 42765183</w:t>
      </w:r>
    </w:p>
    <w:p>
      <w:r>
        <w:t>Durchführungsforschung zur Etablierung eines Patienten-Beirats begleitend zu wissenschaftlichem Komitee bei einer Pharmakoepidemiologie-Studie mit französischer nationaler Krankenversicherungsdatenbank (SNDS); qualitative und quantitative Machbarkeitsbewertung.</w:t>
      </w:r>
    </w:p>
    <w:p>
      <w:r>
        <w:rPr>
          <w:b/>
        </w:rPr>
        <w:t xml:space="preserve">Ergebnis: </w:t>
      </w:r>
      <w:r>
        <w:t>3 von 5 angestrebten Patienten rekrutiert; gute Kohäsion im Komitee, Konsens bei den meisten Themen; 13% kodierter Austausch in vordefinierten Kategorien auf Basis der Sitzungsziele, 87% themenfremde Diskussionen. Patientenbeteiligung führte zu Änderung eines Primär-Outcomes und zusätzlicher statistischer Analysen; Patienten zeigten Zufriedenheit, Projektteam teilweise mit logistischen Herausforderungen belastet.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SNDS-spezifisch, aber methodische Erkenntnisse zur Partizipation übertragbar</w:t>
      </w:r>
    </w:p>
    <w:p>
      <w:r>
        <w:rPr>
          <w:color w:val="5A7D3A"/>
          <w:sz w:val="18"/>
        </w:rPr>
        <w:t>https://pubmed.ncbi.nlm.nih.gov/42765183/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