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06.10.2026  |  7 Studien  |  ki.m-vf.de</w:t>
      </w:r>
    </w:p>
    <w:p>
      <w:pPr>
        <w:pStyle w:val="Heading1"/>
      </w:pPr>
      <w:r>
        <w:t>Aufgenommen am 06.10.2026</w:t>
      </w:r>
    </w:p>
    <w:p>
      <w:pPr>
        <w:pStyle w:val="Heading2"/>
      </w:pPr>
      <w:r>
        <w:t>ML-gestützte Diagnose bipolarer Störung: externe Validierung eines RNA-Editing-Tests</w:t>
      </w:r>
    </w:p>
    <w:p>
      <w:r>
        <w:rPr>
          <w:i/>
          <w:color w:val="666666"/>
          <w:sz w:val="18"/>
        </w:rPr>
        <w:t>Weissmann D et al.  ·  BMJ Ment Health  ·  05.10.2026  ·  PMID 42833865</w:t>
      </w:r>
    </w:p>
    <w:p>
      <w:r>
        <w:t>Prospektive externe Validierung eines Machine-Learning-Tests zur Differenzierung bipolarer Störung von Depression anhand von RNA-Editing-Biomarkern in vier europäischen Zentren.</w:t>
      </w:r>
    </w:p>
    <w:p>
      <w:r>
        <w:rPr>
          <w:b/>
        </w:rPr>
        <w:t xml:space="preserve">Ergebnis: </w:t>
      </w:r>
      <w:r>
        <w:t>Bei 393 Patienten mit depressiven Episoden: AUC 0,873 (95%-KI 0,837–0,909), Sensitivität 82,6%, Spezifität 80,3%. Die Leistung war konsistent über alle Standorte und Patientengruppen. RNA-Editing-Biomarker waren die wichtigsten Modellvariablen.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Multizenterstudie, vergleichbare psychiatrische Versorgungssysteme, Anwendbarkeit auf deutsches Setting gegeben.</w:t>
      </w:r>
    </w:p>
    <w:p>
      <w:r>
        <w:rPr>
          <w:color w:val="5A7D3A"/>
          <w:sz w:val="18"/>
        </w:rPr>
        <w:t>https://pubmed.ncbi.nlm.nih.gov/42833865/</w:t>
      </w:r>
    </w:p>
    <w:p>
      <w:pPr>
        <w:pStyle w:val="Heading2"/>
      </w:pPr>
      <w:r>
        <w:t>KI und Screening bei Aortenklappenkrankheit: Überblick zur klinischen Integration</w:t>
      </w:r>
    </w:p>
    <w:p>
      <w:r>
        <w:rPr>
          <w:i/>
          <w:color w:val="666666"/>
          <w:sz w:val="18"/>
        </w:rPr>
        <w:t>Horn I et al.  ·  Dtsch Med Wochenschr  ·  05.10.2026  ·  PMID 42833204</w:t>
      </w:r>
    </w:p>
    <w:p>
      <w:r>
        <w:t>Überblicksbeitrag zu neuen ESC/EACTS 2025-Leitlinien für Aortenklappenstenose und Rolle von KI-Tools (digitales Stethoskop, EKG-basiertes Screening) bei Früherkennung; keine empirische Datenbasis.</w:t>
      </w:r>
    </w:p>
    <w:p>
      <w:r>
        <w:rPr>
          <w:b/>
        </w:rPr>
        <w:t xml:space="preserve">Ergebnis: </w:t>
      </w:r>
      <w:r>
        <w:t>Paradigmenwechsel: Frühe Intervention für symptomatische Patienten empfohlen. KI-Tools wie digitales Stethoskop und EKG-basiertes Screening unterstützen Screening-Prozesse. Altersgrenze für TAVI auf 70 Jahre gesenkt (Klasse-I-Empfehlung für trikuspide Klappen mit geeigneter Anatomie). Bedeutung des interdisziplinären Heart Teams unterstrichen.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Deutschsprachige Quelle, direkte Anwendung auf deutsches Versorgungssystem, Leitlinien-orientiert.</w:t>
      </w:r>
    </w:p>
    <w:p>
      <w:r>
        <w:rPr>
          <w:color w:val="5A7D3A"/>
          <w:sz w:val="18"/>
        </w:rPr>
        <w:t>https://pubmed.ncbi.nlm.nih.gov/42833204/</w:t>
      </w:r>
    </w:p>
    <w:p>
      <w:pPr>
        <w:pStyle w:val="Heading2"/>
      </w:pPr>
      <w:r>
        <w:t>Partizipative Gestaltung von KI-gestützten Clinical-Decision-Support-Systemen: Scoping Review</w:t>
      </w:r>
    </w:p>
    <w:p>
      <w:r>
        <w:rPr>
          <w:i/>
          <w:color w:val="666666"/>
          <w:sz w:val="18"/>
        </w:rPr>
        <w:t>Rambach T et al.  ·  JMIR Med Inform  ·  05.10.2026  ·  PMID 42832741</w:t>
      </w:r>
    </w:p>
    <w:p>
      <w:r>
        <w:t>Systematische Übersicht, wie Partizipation und Nutzerzentrierung in Entwicklung, Pilotierung und Implementierung von KI-CDSS eingesetzt werden; Analyse von 37 Studien zu Einbindung klinischer Fachkräfte.</w:t>
      </w:r>
    </w:p>
    <w:p>
      <w:r>
        <w:rPr>
          <w:b/>
        </w:rPr>
        <w:t xml:space="preserve">Ergebnis: </w:t>
      </w:r>
      <w:r>
        <w:t>Partizipation war häufiger iterativ oder nutzergesteuert als echtes Co-Design. Ärzte waren fast immer beteiligt, Pflegefachpersonen und andere Berufsgruppen selten. Partizipation unterstützte hauptsächlich Anforderungsanalyse und Workflow-Anpassung. Barrieren: Zeitdruck, begrenzte Kontinuität, Skepsis gegenüber KI. Ethische, rechtliche und soziale Aspekte wurden meist implizit adressiert.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englischsprachige Literatur, Implementierungsforschung mit klarem Bezug zu europäischen Gesundheitssystemen.</w:t>
      </w:r>
    </w:p>
    <w:p>
      <w:r>
        <w:rPr>
          <w:color w:val="5A7D3A"/>
          <w:sz w:val="18"/>
        </w:rPr>
        <w:t>https://pubmed.ncbi.nlm.nih.gov/42832741/</w:t>
      </w:r>
    </w:p>
    <w:p>
      <w:pPr>
        <w:pStyle w:val="Heading2"/>
      </w:pPr>
      <w:r>
        <w:t>Digitale Therapeutik plus Pharmakotherapie in Panikstörung: randomisierte Multizenter-Studie</w:t>
      </w:r>
    </w:p>
    <w:p>
      <w:r>
        <w:rPr>
          <w:i/>
          <w:color w:val="666666"/>
          <w:sz w:val="18"/>
        </w:rPr>
        <w:t>Ko Y et al.  ·  J Med Internet Res  ·  05.10.2026  ·  PMID 42832728</w:t>
      </w:r>
    </w:p>
    <w:p>
      <w:r>
        <w:t>8-wöchige randomisierte Studie zur Wirksamkeit einer verschreibungspflichtigen mobilen Digital-Therapeutik (CBT-Module, Symptommanagement, Lifestyle-Tracking) zusätzlich zur Standardpharmakotherapie bei akuten Panikstörungen.</w:t>
      </w:r>
    </w:p>
    <w:p>
      <w:r>
        <w:rPr>
          <w:b/>
        </w:rPr>
        <w:t xml:space="preserve">Ergebnis: </w:t>
      </w:r>
      <w:r>
        <w:t>66 Patienten randomisiert; Analysestichprobe 61 (32 DTx+Pharma, 29 Pharma allein). DTx-Gruppe: PDSS-SR-Reduktion 40,29% vs. 17,61% (p=0,007), bereits in Woche 2 sichtbar (26,66% vs. 11,05%, p=0,02). Responderquote (≥40% Reduktion) 53,12% vs. 17,24% (p=0,007). Adhärenzrate 78,12%. Dauerhafte Verbesserungen bei generalisierter Angst und katastrophalen Kognitionen.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Südkoreanische Multizenter-RCT, vergleichbare Psychiatrie-Versorgung, Digitalisierungsgrad ähnlich Deutschland.</w:t>
      </w:r>
    </w:p>
    <w:p>
      <w:r>
        <w:rPr>
          <w:color w:val="5A7D3A"/>
          <w:sz w:val="18"/>
        </w:rPr>
        <w:t>https://pubmed.ncbi.nlm.nih.gov/42832728/</w:t>
      </w:r>
    </w:p>
    <w:p>
      <w:pPr>
        <w:pStyle w:val="Heading2"/>
      </w:pPr>
      <w:r>
        <w:t>Telemedizin in der Notfallversorgung: qualitative Clinician-Studie</w:t>
      </w:r>
    </w:p>
    <w:p>
      <w:r>
        <w:rPr>
          <w:i/>
          <w:color w:val="666666"/>
          <w:sz w:val="18"/>
        </w:rPr>
        <w:t>Faiz J et al.  ·  J Med Internet Res  ·  05.10.2026  ·  PMID 42832689</w:t>
      </w:r>
    </w:p>
    <w:p>
      <w:r>
        <w:t>Qualitative Studie zu Erfahrungen von 15 Notfallmedizinern mit Telemedizin-Notfallversorgung (Telefon/Video) in VA-System; Fokus auf klinische Entscheidungsfindung, Beziehungsaufbau und berufliche Zufriedenheit.</w:t>
      </w:r>
    </w:p>
    <w:p>
      <w:r>
        <w:rPr>
          <w:b/>
        </w:rPr>
        <w:t xml:space="preserve">Ergebnis: </w:t>
      </w:r>
      <w:r>
        <w:t>Teilnehmer berichteten Chancen: Vermeidung unnötiger ED-Vorstellungen, fokussierte Patienteninteraktionen, verbesserte Jobzufriedenheit durch flexible virtuelle Schichten. Herausforderungen: Lücken in Primärversorgung, Care-Koordination. Vier Hauptthemen identifiziert zur virtuellen Entscheidungsfindung, Anbieter-Patienten-Beziehung, Wohlbefinden und operative Hürden.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USA-Qualitätsstudie ohne Strukturübertragbarkeit; klinische Erkenntnisse zur Telemedizin-Akzeptanz jedoch relevant.</w:t>
      </w:r>
    </w:p>
    <w:p>
      <w:r>
        <w:rPr>
          <w:color w:val="5A7D3A"/>
          <w:sz w:val="18"/>
        </w:rPr>
        <w:t>https://pubmed.ncbi.nlm.nih.gov/42832689/</w:t>
      </w:r>
    </w:p>
    <w:p>
      <w:pPr>
        <w:pStyle w:val="Heading2"/>
      </w:pPr>
      <w:r>
        <w:t>Radiomics-Modelle für Lungenkrebsfrüherkennung: Multizenterstudie mit Mixed-Effects-Ansatz</w:t>
      </w:r>
    </w:p>
    <w:p>
      <w:r>
        <w:rPr>
          <w:i/>
          <w:color w:val="666666"/>
          <w:sz w:val="18"/>
        </w:rPr>
        <w:t>Hunter B et al.  ·  Eur Radiol Exp  ·  05.10.2026  ·  PMID 42831983</w:t>
      </w:r>
    </w:p>
    <w:p>
      <w:r>
        <w:t>Retrospektive Studie an 1.026 Patienten (2.071 CT-Scans) aus sieben UK-Kliniken zur Entwicklung und Validierung von Radiomics-Modellen für Vorhersage der Malignität indeterminierter Lungennoduli (5–30 mm) unter Berücksichtigung von Heterogenität zwischen Zentren.</w:t>
      </w:r>
    </w:p>
    <w:p>
      <w:r>
        <w:rPr>
          <w:b/>
        </w:rPr>
        <w:t xml:space="preserve">Ergebnis: </w:t>
      </w:r>
      <w:r>
        <w:t>Mixed-Effects-Modell zeigte beste Diskriminanz: AUC 0,91 (95%-KI 0,90–0,93) in Kreuzvalidierung vs. ComBat 0,75 und Fixed-Effects 0,88 (p&lt;0,0001 und 0,003). Radiomics-Features blieben in multivariablen Modellen mit klinischen Merkmalen signifikant. Nettovorteil gegenüber Volumen allein und Brock-Score. Gut kalibriert. Externe Validierung bestätigte Robustheit.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Multizenterstudie, NHS-Kontext, methodisch hochwertig für europäische Adaptierung.</w:t>
      </w:r>
    </w:p>
    <w:p>
      <w:r>
        <w:rPr>
          <w:color w:val="5A7D3A"/>
          <w:sz w:val="18"/>
        </w:rPr>
        <w:t>https://pubmed.ncbi.nlm.nih.gov/42831983/</w:t>
      </w:r>
    </w:p>
    <w:p>
      <w:pPr>
        <w:pStyle w:val="Heading2"/>
      </w:pPr>
      <w:r>
        <w:t>Leitlinien-gestützte LLM-Chatbots für Patientenerziehung in Rheumatologie: nationale Multizenter-Evaluierung</w:t>
      </w:r>
    </w:p>
    <w:p>
      <w:r>
        <w:rPr>
          <w:i/>
          <w:color w:val="666666"/>
          <w:sz w:val="18"/>
        </w:rPr>
        <w:t>Wilhelmi T et al.  ·  J Med Syst  ·  05.10.2026  ·  PMID 42830368</w:t>
      </w:r>
    </w:p>
    <w:p>
      <w:r>
        <w:t>Multizenter-Evaluierung zehn krankheitsspezifischer, leitliniengestützter LLM-Chatbots (basierend auf deutschen Leitlinien) an 13 rheumatologischen Zentren und sechs Patientenorganisationen; Nutzeruberfeedback und LLM-basierte Bewertung von 6.291 Fragen.</w:t>
      </w:r>
    </w:p>
    <w:p>
      <w:r>
        <w:rPr>
          <w:b/>
        </w:rPr>
        <w:t xml:space="preserve">Ergebnis: </w:t>
      </w:r>
      <w:r>
        <w:t>September 2025–Januar 2026: 6.291 Fragen aufgezeichnet. 4,2% konnten Chatbots nicht beantworten. Von 2.671 durch Nutzer bewerteten Antworten: 92,9% positiv. Häufigster Grund für negatives Feedback: unzureichende Detailfülle (65,8%). Von 602 Fragebogenteilnehmern: 84,6% nutzungsfreundlich, 84,1% verständlich, 80,2% nützliche Ergänzung. LLM-Bewertung: 95,3% vollständig sicher, 79,1% vollständig korrekt. Leitlinienadhärenz: 45,0% vollständig konform.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Multizenter-Studie, deutsches Versorgungssystem, direkt übertragbar.</w:t>
      </w:r>
    </w:p>
    <w:p>
      <w:r>
        <w:rPr>
          <w:color w:val="5A7D3A"/>
          <w:sz w:val="18"/>
        </w:rPr>
        <w:t>https://pubmed.ncbi.nlm.nih.gov/42830368/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2026-10-06T06:00:00Z</dcterms:created>
  <dcterms:modified xsi:type="dcterms:W3CDTF">2026-10-06T06:00:00Z</dcterms:modified>
  <cp:category/>
</cp:coreProperties>
</file>