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Digitalisierung, KI und Gesundheit</w:t>
      </w:r>
    </w:p>
    <w:p>
      <w:r>
        <w:rPr>
          <w:i/>
          <w:color w:val="666666"/>
          <w:sz w:val="18"/>
        </w:rPr>
        <w:t>Stand: 10.10.2026  |  6 Studien  |  ki.m-vf.de</w:t>
      </w:r>
    </w:p>
    <w:p>
      <w:pPr>
        <w:pStyle w:val="Heading1"/>
      </w:pPr>
      <w:r>
        <w:t>Aufgenommen am 10.10.2026</w:t>
      </w:r>
    </w:p>
    <w:p>
      <w:pPr>
        <w:pStyle w:val="Heading2"/>
      </w:pPr>
      <w:r>
        <w:t>Strukturiertes Bestellsystem in der Notfall-ICU-Aufnahme reduziert Dokumentationsfehler um 46 %</w:t>
      </w:r>
    </w:p>
    <w:p>
      <w:r>
        <w:rPr>
          <w:i/>
          <w:color w:val="666666"/>
          <w:sz w:val="18"/>
        </w:rPr>
        <w:t>Chien DK et al.  ·  JMIR Form Res  ·  09.10.2026  ·  PMID 42854259</w:t>
      </w:r>
    </w:p>
    <w:p>
      <w:r>
        <w:t>Eine retrospektive Analyse vergleich traditionelle und digitale Bestellsysteme bei der Aufnahme von Notfall- in Intensivpatienten und quantifizierte Auswirkungen auf Bestellgültigkeit, Fehler und Workflow-Alignment.</w:t>
      </w:r>
    </w:p>
    <w:p>
      <w:r>
        <w:rPr>
          <w:b/>
        </w:rPr>
        <w:t xml:space="preserve">Ergebnis: </w:t>
      </w:r>
      <w:r>
        <w:t>Das aktualisierte digitale System erhöhte die Bestellgültigkeit von 54,1 % auf 75,4 % (RR 1,39; p&lt;0,001) und reduzierte fehlerhafte Bestellungen von 45,9 % auf 24,6 % (RR 0,54; p&lt;0,001). Die Reservierungsabstimmung verbesserte sich von 0,68 auf 0,78 (p=0,03).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Taiwan, strukturierte elektronische Systeme übertragbar auf europäische Workflows</w:t>
      </w:r>
    </w:p>
    <w:p>
      <w:r>
        <w:rPr>
          <w:color w:val="5A7D3A"/>
          <w:sz w:val="18"/>
        </w:rPr>
        <w:t>https://pubmed.ncbi.nlm.nih.gov/42854259/</w:t>
      </w:r>
    </w:p>
    <w:p>
      <w:pPr>
        <w:pStyle w:val="Heading2"/>
      </w:pPr>
      <w:r>
        <w:t>Mental-Health-Apps bei Nutzern: Abbruch signalisiert oft erfolgreiche Skill-Übertragung, nicht Misserfolg</w:t>
      </w:r>
    </w:p>
    <w:p>
      <w:r>
        <w:rPr>
          <w:i/>
          <w:color w:val="666666"/>
          <w:sz w:val="18"/>
        </w:rPr>
        <w:t>Suchý V et al.  ·  JMIR Mhealth Uhealth  ·  09.10.2026  ·  PMID 42854203</w:t>
      </w:r>
    </w:p>
    <w:p>
      <w:r>
        <w:t>Qualitative Studie mit 31 tschechischen App-Nutzern (semistrukturierte Interviews) zur Integration von Mental-Health-Apps in Alltag und Selbsthilfe.</w:t>
      </w:r>
    </w:p>
    <w:p>
      <w:r>
        <w:rPr>
          <w:b/>
        </w:rPr>
        <w:t xml:space="preserve">Ergebnis: </w:t>
      </w:r>
      <w:r>
        <w:t>Drei Nutzungsmuster (regelmäßig, reaktiv, problem-fokussiert) und vier Trajectories (Emanzipation, Unabhängigkeit, Abhängigkeit, episodisch). Abbruch reflektiert oft erfolgreiche Skill-Übertragung in den Alltag, nicht Fehlschlag. Nutzer berichten Belastung durch Selbstmonitoring und Screen-Time-Zielkonflikt.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Tschechien, EU-kompatible Datenschutzpraxis, Transfer zu europäischer Nutzerforschung</w:t>
      </w:r>
    </w:p>
    <w:p>
      <w:r>
        <w:rPr>
          <w:color w:val="5A7D3A"/>
          <w:sz w:val="18"/>
        </w:rPr>
        <w:t>https://pubmed.ncbi.nlm.nih.gov/42854203/</w:t>
      </w:r>
    </w:p>
    <w:p>
      <w:pPr>
        <w:pStyle w:val="Heading2"/>
      </w:pPr>
      <w:r>
        <w:t>Digitale Interventionen bei ADHS-Symptomen bei Kindern: Serious Games wirken 6–8 Wochen am besten</w:t>
      </w:r>
    </w:p>
    <w:p>
      <w:r>
        <w:rPr>
          <w:i/>
          <w:color w:val="666666"/>
          <w:sz w:val="18"/>
        </w:rPr>
        <w:t>Wang A et al.  ·  J Med Internet Res  ·  09.10.2026  ·  PMID 42854193</w:t>
      </w:r>
    </w:p>
    <w:p>
      <w:r>
        <w:t>Systematische Übersicht und Meta-Analyse von 37 RCTs (4 Interventionstypen) zur Wirkung digitaler Technologien auf Kernsymptome und kognitive Funktionen bei Kindern mit ADHS.</w:t>
      </w:r>
    </w:p>
    <w:p>
      <w:r>
        <w:rPr>
          <w:b/>
        </w:rPr>
        <w:t xml:space="preserve">Ergebnis: </w:t>
      </w:r>
      <w:r>
        <w:t>Digitale Interventionen linderten Kernsymptome signifikant (Effekt primär durch Serious Games, p=0,02) und kognitive Beeinträchtigungen (hauptsächlich computergestützte Interventionen p=0,04, Serious Games p=0,02). Stärkere Effekte bei jüngeren Kindern (&lt;10 Jahren) und Intervention ≤8 Wochen Dauer.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Studienpopulation überwiegend europäisch und nordamerikanisch, Interventionstypen in Deutschland verfügbar</w:t>
      </w:r>
    </w:p>
    <w:p>
      <w:r>
        <w:rPr>
          <w:color w:val="5A7D3A"/>
          <w:sz w:val="18"/>
        </w:rPr>
        <w:t>https://pubmed.ncbi.nlm.nih.gov/42854193/</w:t>
      </w:r>
    </w:p>
    <w:p>
      <w:pPr>
        <w:pStyle w:val="Heading2"/>
      </w:pPr>
      <w:r>
        <w:t>Machine-Learning-Modell für Sterblichkeit in Neurokritik: AUROC 0,841 intern, 0,801 extern validiert</w:t>
      </w:r>
    </w:p>
    <w:p>
      <w:r>
        <w:rPr>
          <w:i/>
          <w:color w:val="666666"/>
          <w:sz w:val="18"/>
        </w:rPr>
        <w:t>Cheng X et al.  ·  Front Neurol  ·  24.09.2026  ·  PMID 42851912</w:t>
      </w:r>
    </w:p>
    <w:p>
      <w:r>
        <w:t>Retrospektive Kohortenstudie mit MIMIC-IV (n=6.842) und eICU-CRD (n=5.236) zur Entwicklung und externen Validierung eines interpretierbaren ML-Modells für frühe Sterblichkeitsprognose in Neurokritik.</w:t>
      </w:r>
    </w:p>
    <w:p>
      <w:r>
        <w:rPr>
          <w:b/>
        </w:rPr>
        <w:t xml:space="preserve">Ergebnis: </w:t>
      </w:r>
      <w:r>
        <w:t>LightGBM zeigte beste Leistung: interne Test-AUROC 0,841 (KI 0,821–0,861), externe Validierung AUROC 0,801 (KI 0,779–0,824), Sensitivität 72,8 %, Spezifität 73,9 %, NPV 94,7 %. Kalibrierung akzeptabel (Brier 0,101). Hauptprädiktoren: GCS, mechanische Beatmung, Alter, Laktat.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Multinationale öffentliche ICU-Datenbanken, externe Validierung vorliegen, aber Implementierung vor prospektiver Validierung in Europa nicht empfohlen</w:t>
      </w:r>
    </w:p>
    <w:p>
      <w:r>
        <w:rPr>
          <w:color w:val="5A7D3A"/>
          <w:sz w:val="18"/>
        </w:rPr>
        <w:t>https://pubmed.ncbi.nlm.nih.gov/42851912/</w:t>
      </w:r>
    </w:p>
    <w:p>
      <w:pPr>
        <w:pStyle w:val="Heading2"/>
      </w:pPr>
      <w:r>
        <w:t>LLM-strukturierte Onkologie-Berichte verbessern Findbarkeit von Informationen 4,3-fach</w:t>
      </w:r>
    </w:p>
    <w:p>
      <w:r>
        <w:rPr>
          <w:i/>
          <w:color w:val="666666"/>
          <w:sz w:val="18"/>
        </w:rPr>
        <w:t>Busch F et al.  ·  Cancer Imaging  ·  08.10.2026  ·  PMID 42850632</w:t>
      </w:r>
    </w:p>
    <w:p>
      <w:r>
        <w:t>Prospektive Paired-Studie mit 66 Multiprofessionals zur Bewertung von LLM-strukturierten versus Freitext-CT-Befunden in der Onkologie mittels standardisierter 12-Item-Likert-Skalen.</w:t>
      </w:r>
    </w:p>
    <w:p>
      <w:r>
        <w:rPr>
          <w:b/>
        </w:rPr>
        <w:t xml:space="preserve">Ergebnis: </w:t>
      </w:r>
      <w:r>
        <w:t>Strukturierte Berichte zeigten signifikant höhere Zustimmungsraten für 11 von 12 Items (OR 1,70–4,81). Stärkste Effekte für klinischen Nutzen (OR 4,81; KI 3,24–7,15), Informationsfindbarkeit (OR 4,31; KI 3,12–5,96) und Klarheit von Empfehlungen (OR 4,14; KI 2,95–5,83).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Münchner Universitätsklinik, vergleichbare Dokumentationsanforderungen</w:t>
      </w:r>
    </w:p>
    <w:p>
      <w:r>
        <w:rPr>
          <w:color w:val="5A7D3A"/>
          <w:sz w:val="18"/>
        </w:rPr>
        <w:t>https://pubmed.ncbi.nlm.nih.gov/42850632/</w:t>
      </w:r>
    </w:p>
    <w:p>
      <w:pPr>
        <w:pStyle w:val="Heading2"/>
      </w:pPr>
      <w:r>
        <w:t>KI-Modell zur TB-Triage in Usbekistan: lokal angepasst AUC 0,990, aber ohne externe Validierung</w:t>
      </w:r>
    </w:p>
    <w:p>
      <w:r>
        <w:rPr>
          <w:i/>
          <w:color w:val="666666"/>
          <w:sz w:val="18"/>
        </w:rPr>
        <w:t>Shakarbaev N et al.  ·  Int J Med Inform  ·  22.09.2026  ·  PMID 42784986</w:t>
      </w:r>
    </w:p>
    <w:p>
      <w:r>
        <w:t>Lokale Anpassung eines öffentlichen Thorax-Röntgen-KI-Klassifikators für Tuberkulose-Triage an usbekische Daten mit interner Validierung und explorativer Workstation-Integration.</w:t>
      </w:r>
    </w:p>
    <w:p>
      <w:r>
        <w:rPr>
          <w:b/>
        </w:rPr>
        <w:t xml:space="preserve">Ergebnis: </w:t>
      </w:r>
      <w:r>
        <w:t>Im gehaltenen Test (n=76, 15 TB+) erreichte das angepasste Modell AUC 0,9902 (KI 0,9694–1,0000), F1 0,9375, Precision-Recall-AUC 0,9557. Unterschied zur öffentlichen Baseline nicht signifikant (p=0,4864). Keine Institution-externe Validierung.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Zentralasien, kleine gehaltene Testmenge (n=15 Fälle), keine Screening-Performance nachgewiesen</w:t>
      </w:r>
    </w:p>
    <w:p>
      <w:r>
        <w:rPr>
          <w:color w:val="5A7D3A"/>
          <w:sz w:val="18"/>
        </w:rPr>
        <w:t>https://pubmed.ncbi.nlm.nih.gov/42784986/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Digitalisierung, KI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2026-10-10T06:00:00Z</dcterms:created>
  <dcterms:modified xsi:type="dcterms:W3CDTF">2026-10-10T06:00:00Z</dcterms:modified>
  <cp:category/>
</cp:coreProperties>
</file>