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16.09.2026  |  6 Studien  |  ki.m-vf.de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Chatbot-Typ und normative Nachrichten beeinflussen Nutzungsintention</w:t>
      </w:r>
    </w:p>
    <w:p>
      <w:r>
        <w:rPr>
          <w:i/>
          <w:color w:val="666666"/>
          <w:sz w:val="18"/>
        </w:rPr>
        <w:t>Liao Y et al.  ·  J Med Internet Res  ·  15.09.2026  ·  PMID 42743590</w:t>
      </w:r>
    </w:p>
    <w:p>
      <w:r>
        <w:t>RCT (N=1000 US-Erwachsene) mit 4×2-Design, das Nachrichtentyp (Norm-Framing) und Chatbot-Typ (KI vs. regelbasiert) auf Akzeptanz und Nutzungsintention prüft.</w:t>
      </w:r>
    </w:p>
    <w:p>
      <w:r>
        <w:rPr>
          <w:b/>
        </w:rPr>
        <w:t xml:space="preserve">Ergebnis: </w:t>
      </w:r>
      <w:r>
        <w:t>Peer- und familienorientierte Nachrichten führten zu höherer Nutzungsintention als Experten-Nachrichten. KI-Chatbots zeigten höhere Nutzungsintention (p=0,02) und höheres Vertrauen (p=0,008). Modell erklärt 50,8 % Varianz in Nutzungsintention. Vertrauen (β=0,33; p&lt;0,001) und Datenschutzbedenken (β=-0,11; p&lt;0,001) waren zentrale Prädiktoren.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Befunde zu Vertrauen und Datenschutz übertragbar, Nutzer-Population begrenzt</w:t>
      </w:r>
    </w:p>
    <w:p>
      <w:r>
        <w:rPr>
          <w:color w:val="5A7D3A"/>
          <w:sz w:val="18"/>
        </w:rPr>
        <w:t>https://pubmed.ncbi.nlm.nih.gov/42743590/</w:t>
      </w:r>
    </w:p>
    <w:p>
      <w:pPr>
        <w:pStyle w:val="Heading2"/>
      </w:pPr>
      <w:r>
        <w:t>Machine-Learning-Modell zur Hypertonie-Früherkennung im NHS</w:t>
      </w:r>
    </w:p>
    <w:p>
      <w:r>
        <w:rPr>
          <w:i/>
          <w:color w:val="666666"/>
          <w:sz w:val="18"/>
        </w:rPr>
        <w:t>Ihenetu G et al.  ·  J Med Internet Res  ·  15.09.2026  ·  PMID 42743441</w:t>
      </w:r>
    </w:p>
    <w:p>
      <w:r>
        <w:t>Retrospektive Kohortenanalyse eines ML-Modells zur Identifikation von undiagnostizierter Hypertonie in 1,8 Millionen Patienten der North West London Integrated Care.</w:t>
      </w:r>
    </w:p>
    <w:p>
      <w:r>
        <w:rPr>
          <w:b/>
        </w:rPr>
        <w:t xml:space="preserve">Ergebnis: </w:t>
      </w:r>
      <w:r>
        <w:t>Sensitivität 62,7 % (95%-KI 62,5–62,8), Spezifität 60,7 % (95%-KI 60,5–60,8), positiver Vorhersagewert 31,5–42,9 %. Performance variierte nach Alter, Geschlecht und sozioökonomischem Status. Modell vergleichbar mit interpretablerem Regressionsmodell.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(NHS), strukturelle Ähnlichkeit zu deutschen Systemen begrenzt</w:t>
      </w:r>
    </w:p>
    <w:p>
      <w:r>
        <w:rPr>
          <w:color w:val="5A7D3A"/>
          <w:sz w:val="18"/>
        </w:rPr>
        <w:t>https://pubmed.ncbi.nlm.nih.gov/42743441/</w:t>
      </w:r>
    </w:p>
    <w:p>
      <w:pPr>
        <w:pStyle w:val="Heading2"/>
      </w:pPr>
      <w:r>
        <w:t>Clinical Decision Support für Demenz-Früherkennung mit flexiblem Zeitfenster</w:t>
      </w:r>
    </w:p>
    <w:p>
      <w:r>
        <w:rPr>
          <w:i/>
          <w:color w:val="666666"/>
          <w:sz w:val="18"/>
        </w:rPr>
        <w:t>Ez-Zizi A et al.  ·  J Med Syst  ·  15.09.2026  ·  PMID 42742759</w:t>
      </w:r>
    </w:p>
    <w:p>
      <w:r>
        <w:t>ML-Modell zur Diagnose und Vorhersage der Demenzentwicklung bis 10 Jahre in UK-Sekundärversorgung, mit Explainability und Fairness-Analyse auf NACC-Daten trainiert.</w:t>
      </w:r>
    </w:p>
    <w:p>
      <w:r>
        <w:rPr>
          <w:b/>
        </w:rPr>
        <w:t xml:space="preserve">Ergebnis: </w:t>
      </w:r>
      <w:r>
        <w:t>Gleiche Visite: Sensitivität 0,951 (95%-KI 0,947–0,954), Spezifität 0,810 (0,805–0,814), AUC 0,959 (0,957–0,960). Über Zeitfenster (24–120 Monate): Sensitivität/Spezifität 0,808/0,856 bis 0,833/0,706. Fairness über Geschlecht, Rasse, Alter ähnlich, aber Sensitivität-Spezifität-Tradeoff variiert. Externe Validierung erforderlich vor Einsatz.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UK NHS-Workflows, aber Validierung ausstehend</w:t>
      </w:r>
    </w:p>
    <w:p>
      <w:r>
        <w:rPr>
          <w:color w:val="5A7D3A"/>
          <w:sz w:val="18"/>
        </w:rPr>
        <w:t>https://pubmed.ncbi.nlm.nih.gov/42742759/</w:t>
      </w:r>
    </w:p>
    <w:p>
      <w:pPr>
        <w:pStyle w:val="Heading2"/>
      </w:pPr>
      <w:r>
        <w:t>Digitale Gesundheitskompetenz vs. Wissenschaftsvertrauen bei Studierenden</w:t>
      </w:r>
    </w:p>
    <w:p>
      <w:r>
        <w:rPr>
          <w:i/>
          <w:color w:val="666666"/>
          <w:sz w:val="18"/>
        </w:rPr>
        <w:t>Sarcone A et al.  ·  Front Public Health  ·  31.08.2026  ·  PMID 42740965</w:t>
      </w:r>
    </w:p>
    <w:p>
      <w:r>
        <w:t>Querschnittsumfrage (N=407 Studierende Universität Catanzaro) zu Informationsquellen, digitalen Bewertungsfähigkeiten und Wissenschaftshaltung.</w:t>
      </w:r>
    </w:p>
    <w:p>
      <w:r>
        <w:rPr>
          <w:b/>
        </w:rPr>
        <w:t xml:space="preserve">Ergebnis: </w:t>
      </w:r>
      <w:r>
        <w:t>75,43 % nutzen Social Media als Quelle, nur 12,78 % halten sie für zuverlässig; 94,10 % vertrauen Ärzten. Nur 15,72 % berichten sichere kritische Bewertung online. Frauen zeigere höhere Sensibilität für ethische Dimension (OR 1,61). Positive Wissenschaftshaltung korreliert mit unterentwickelten Bewertungsfähigkeiten.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europäisches Setting; Befunde zur Medienkompetenz teilweise übertragbar</w:t>
      </w:r>
    </w:p>
    <w:p>
      <w:r>
        <w:rPr>
          <w:color w:val="5A7D3A"/>
          <w:sz w:val="18"/>
        </w:rPr>
        <w:t>https://pubmed.ncbi.nlm.nih.gov/42740965/</w:t>
      </w:r>
    </w:p>
    <w:p>
      <w:pPr>
        <w:pStyle w:val="Heading2"/>
      </w:pPr>
      <w:r>
        <w:t>Zugang zur deutschen elektronischen Patientenakte – Qualitative Analyse der Implementierungsbarrieren</w:t>
      </w:r>
    </w:p>
    <w:p>
      <w:r>
        <w:rPr>
          <w:i/>
          <w:color w:val="666666"/>
          <w:sz w:val="18"/>
        </w:rPr>
        <w:t>May S et al.  ·  JMIR Mhealth Uhealth  ·  14.09.2026  ·  PMID 42735900</w:t>
      </w:r>
    </w:p>
    <w:p>
      <w:r>
        <w:t>Qualitative Interviewstudie (N=23) zu Erfahrungen beim Zugriff auf die ePA über Krankenkassen-Apps während des Umstiegs auf Opt-out-Modell.</w:t>
      </w:r>
    </w:p>
    <w:p>
      <w:r>
        <w:rPr>
          <w:b/>
        </w:rPr>
        <w:t xml:space="preserve">Ergebnis: </w:t>
      </w:r>
      <w:r>
        <w:t>Zugang funktioniert als fünfphasiger Prozess: Orientierung, technische Einstiegshürden, Verifikation, Unterbrechungen, Übergang zur Nutzung. 21 von 23 Teilnehmern erfolgreich; Barrieren akkumulieren über Phasen. Unklarer unmittelbarer Nutzen limitiert Übergang zur aktiven Nutzung.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 auf ePA4all-Projekt übertragbar</w:t>
      </w:r>
    </w:p>
    <w:p>
      <w:r>
        <w:rPr>
          <w:color w:val="5A7D3A"/>
          <w:sz w:val="18"/>
        </w:rPr>
        <w:t>https://pubmed.ncbi.nlm.nih.gov/42735900/</w:t>
      </w:r>
    </w:p>
    <w:p>
      <w:pPr>
        <w:pStyle w:val="Heading2"/>
      </w:pPr>
      <w:r>
        <w:t>Tägliche Erinnerungen erhöhen Adhärenz bei elektronischem Kopfschmerztagebuch</w:t>
      </w:r>
    </w:p>
    <w:p>
      <w:r>
        <w:rPr>
          <w:i/>
          <w:color w:val="666666"/>
          <w:sz w:val="18"/>
        </w:rPr>
        <w:t>Ruscheweyh R et al.  ·  JMIR Mhealth Uhealth  ·  14.09.2026  ·  PMID 42735433</w:t>
      </w:r>
    </w:p>
    <w:p>
      <w:r>
        <w:t>Retrospektive Kohortenstudie (N=4236 Nutzer der DMKG-App) nutzte 14-tägigen Reminderfehler 2023 zur Bewertung der Erinnerungsfunktion auf die Eintragungen.</w:t>
      </w:r>
    </w:p>
    <w:p>
      <w:r>
        <w:rPr>
          <w:b/>
        </w:rPr>
        <w:t xml:space="preserve">Ergebnis: </w:t>
      </w:r>
      <w:r>
        <w:t>Fehlerphase: Rückgang der Einträge um 11,0 % (10,2 auf 9,1 pro Periode; p&lt;0,001), Verzögerung +46,3 % (1,90 auf 2,78 Tage; p&lt;0,001), Abbruchrate +32,2 % (4,0 % auf 5,2 %; p=0,002). Effekt größer bei Männern und bei geringerer Kopfschmerzfrequenz.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deutsches Forschungsteam, nationale klinische Datenstruktur</w:t>
      </w:r>
    </w:p>
    <w:p>
      <w:r>
        <w:rPr>
          <w:color w:val="5A7D3A"/>
          <w:sz w:val="18"/>
        </w:rPr>
        <w:t>https://pubmed.ncbi.nlm.nih.gov/42735433/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2026-09-16T06:00:00Z</dcterms:created>
  <dcterms:modified xsi:type="dcterms:W3CDTF">2026-09-16T06:00:00Z</dcterms:modified>
  <cp:category/>
</cp:coreProperties>
</file>