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07.10.2026  |  6 Studien  |  ki.m-vf.de</w:t>
      </w:r>
    </w:p>
    <w:p>
      <w:pPr>
        <w:pStyle w:val="Heading1"/>
      </w:pPr>
      <w:r>
        <w:t>Aufgenommen am 07.10.2026</w:t>
      </w:r>
    </w:p>
    <w:p>
      <w:pPr>
        <w:pStyle w:val="Heading2"/>
      </w:pPr>
      <w:r>
        <w:t>Digitale Fragmentierung in NHS: Folgen für Antimikrobien-Stewardship</w:t>
      </w:r>
    </w:p>
    <w:p>
      <w:r>
        <w:rPr>
          <w:i/>
          <w:color w:val="666666"/>
          <w:sz w:val="18"/>
        </w:rPr>
        <w:t>Schneider V et al.  ·  J Med Internet Res  ·  06.10.2026  ·  PMID 42837652</w:t>
      </w:r>
    </w:p>
    <w:p>
      <w:r>
        <w:t>Rapid Review untersuchte, wie die Zersplitterung von Patientendaten über multiple elektronische Systeme im britischen NHS die Antiinfektiva-Verschreibung und das Stewardship beeinträchtigt.</w:t>
      </w:r>
    </w:p>
    <w:p>
      <w:r>
        <w:rPr>
          <w:b/>
        </w:rPr>
        <w:t xml:space="preserve">Ergebnis: </w:t>
      </w:r>
      <w:r>
        <w:t>14 Studien eingeschlossen. 10 Studien dokumentierten Fragmentierung in UK; sie behindert Workflow, Entscheidungsfindung und führt zu doppelten Untersuchungen. Spezifische Evidenz für Antimikrobien-Stewardship war knapp (4 Studien): Schlechte Interoperabilität untergräbt Stewardship-Aktivitäten. Nur 1 Studie berichtete digitales Tool zur Behebung der Fragmentierung.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NHS-Daten; strukturelle Befunde zur Interoperabilität auf deutsches Klinikumfeld übertragbar.</w:t>
      </w:r>
    </w:p>
    <w:p>
      <w:r>
        <w:rPr>
          <w:color w:val="5A7D3A"/>
          <w:sz w:val="18"/>
        </w:rPr>
        <w:t>https://pubmed.ncbi.nlm.nih.gov/42837652/</w:t>
      </w:r>
    </w:p>
    <w:p>
      <w:pPr>
        <w:pStyle w:val="Heading2"/>
      </w:pPr>
      <w:r>
        <w:t>Chatbots für psychische Gesundheit: Screening und Erfassung – systematische Übersicht</w:t>
      </w:r>
    </w:p>
    <w:p>
      <w:r>
        <w:rPr>
          <w:i/>
          <w:color w:val="666666"/>
          <w:sz w:val="18"/>
        </w:rPr>
        <w:t>Morales Gil I et al.  ·  JMIR Ment Health  ·  06.10.2026  ·  PMID 42837528</w:t>
      </w:r>
    </w:p>
    <w:p>
      <w:r>
        <w:t>Systematische Übersicht (18 Studien 2021–2025, n=20–3.902) zur Wirksamkeit, Genauigkeit und Akzeptabilität von Chatbots und KI-Agenten in der psychischen Gesundheit.</w:t>
      </w:r>
    </w:p>
    <w:p>
      <w:r>
        <w:rPr>
          <w:b/>
        </w:rPr>
        <w:t xml:space="preserve">Ergebnis: </w:t>
      </w:r>
      <w:r>
        <w:t>Regelbasierte Chatbots: Zuverlässigkeit (Cronbach α &gt;0,85), gute Akzeptabilität (AIM &gt;19/25). Generative Modelle (LLM): Sensitivität 0,84–0,93, Spezifität 0,80–0,96 für Depression/Angststörung; Korrelation bis r=0,96 mit Fachleuten bei Suizidrisiko. Hybrid-Ansätze: F1-Score 92,1%, Spezifität 99,6% für kognitive Beeinträchtigung. Nutzer-Zufriedenheit ≥70%, Barrieren in älteren Populationen. Mittleres Bias-Risiko in Methodologie.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Studien, methodisch auf deutsches Gesundheitswesen übertragbar; sichere Implementierung erfordert klinische Protokolle, ärztliche Supervision und Bias-Mitigation.</w:t>
      </w:r>
    </w:p>
    <w:p>
      <w:r>
        <w:rPr>
          <w:color w:val="5A7D3A"/>
          <w:sz w:val="18"/>
        </w:rPr>
        <w:t>https://pubmed.ncbi.nlm.nih.gov/42837528/</w:t>
      </w:r>
    </w:p>
    <w:p>
      <w:pPr>
        <w:pStyle w:val="Heading2"/>
      </w:pPr>
      <w:r>
        <w:t>Sozialroboter zur Risikoerfassung bei Kardiometabolischen Erkrankungen: Nutzererfahrung</w:t>
      </w:r>
    </w:p>
    <w:p>
      <w:r>
        <w:rPr>
          <w:i/>
          <w:color w:val="666666"/>
          <w:sz w:val="18"/>
        </w:rPr>
        <w:t>Bruchhof SD et al.  ·  J Med Internet Res  ·  06.10.2026  ·  PMID 42837519</w:t>
      </w:r>
    </w:p>
    <w:p>
      <w:r>
        <w:t>Qualitative Studie: 13 semistrukturierte Interviews mit Nutzern eines Screening-Roboters (Furhat) in sozial benachteiligten Gemeinden in Uppsala.</w:t>
      </w:r>
    </w:p>
    <w:p>
      <w:r>
        <w:rPr>
          <w:b/>
        </w:rPr>
        <w:t xml:space="preserve">Ergebnis: </w:t>
      </w:r>
      <w:r>
        <w:t>Kernthemen: (1) Nutzer nehmen an, ältere Menschen, Migranten und Frauen seien weniger interessiert am Roboter-Screening; (2) obwohl Nutzer die Interaktion nichtbewertend fanden und sie anderen empfehlen würden, zogen die meisten ein Screening mit Mensch vor. Hauptgründe: Sprachbarrieren und Wunsch nach mehr emotionaler Responsivität des Roboters.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Digitalisierungsstand höher als Deutschland; Usability-Befunde zum Human-AI-Interaction auf deutsche Kontexte übertragbar.</w:t>
      </w:r>
    </w:p>
    <w:p>
      <w:r>
        <w:rPr>
          <w:color w:val="5A7D3A"/>
          <w:sz w:val="18"/>
        </w:rPr>
        <w:t>https://pubmed.ncbi.nlm.nih.gov/42837519/</w:t>
      </w:r>
    </w:p>
    <w:p>
      <w:pPr>
        <w:pStyle w:val="Heading2"/>
      </w:pPr>
      <w:r>
        <w:t>Ambient Voice Technology in NHS: Phase-2-Evaluationsprotokoll</w:t>
      </w:r>
    </w:p>
    <w:p>
      <w:r>
        <w:rPr>
          <w:i/>
          <w:color w:val="666666"/>
          <w:sz w:val="18"/>
        </w:rPr>
        <w:t>Morris S et al.  ·  JMIR Res Protoc  ·  05.10.2026  ·  PMID 42832701</w:t>
      </w:r>
    </w:p>
    <w:p>
      <w:r>
        <w:t>Protokoll für multisite mixed-methods Evaluation von KI-gestützter Sprachumwandlung klinischer Konsultationen in 4 NHS-Trusts (Psychiatrie, akute Ambulanzen, Notfall).</w:t>
      </w:r>
    </w:p>
    <w:p>
      <w:r>
        <w:rPr>
          <w:b/>
        </w:rPr>
        <w:t xml:space="preserve">Ergebnis: </w:t>
      </w:r>
      <w:r>
        <w:t>Studiendesign: (1) quasiexperimentelle Analyse von Routine-NHS-Daten zu Dokumentationszeit, klinischer Aktivität und Service-Outcomes; (2) Kosten-Konsequenz- und Kostennutzen-Analyse; (3) bis zu 36 Interviews mit Personal. Datenerhebung August 2026 bis Januar 2027; Publikation Februar 2027 geplant.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NHS-Struktur; Evaluationsmethodik und Outcomes (Dokumentationszeit, Kostenfolgen) auf deutsche Kliniken übertragbar.</w:t>
      </w:r>
    </w:p>
    <w:p>
      <w:r>
        <w:rPr>
          <w:color w:val="5A7D3A"/>
          <w:sz w:val="18"/>
        </w:rPr>
        <w:t>https://pubmed.ncbi.nlm.nih.gov/42832701/</w:t>
      </w:r>
    </w:p>
    <w:p>
      <w:pPr>
        <w:pStyle w:val="Heading2"/>
      </w:pPr>
      <w:r>
        <w:t>KI-Haftung und Behandlungsstandard in psychiatrischer Praxis: europäischer Überblick</w:t>
      </w:r>
    </w:p>
    <w:p>
      <w:r>
        <w:rPr>
          <w:i/>
          <w:color w:val="666666"/>
          <w:sz w:val="18"/>
        </w:rPr>
        <w:t>Madeira L et al.  ·  J Med Internet Res  ·  05.10.2026  ·  PMID 42832687</w:t>
      </w:r>
    </w:p>
    <w:p>
      <w:r>
        <w:t>Rechts- und bioethische Analyse zur Verteilung von Verantwortung und Haftung, wenn KI in psychiatrische Diagnostik, Risikoprognose und Dokumentation eingebunden ist.</w:t>
      </w:r>
    </w:p>
    <w:p>
      <w:r>
        <w:rPr>
          <w:b/>
        </w:rPr>
        <w:t xml:space="preserve">Ergebnis: </w:t>
      </w:r>
      <w:r>
        <w:t>Kernthese: Psychiatrische KI erfordert 'justified integration' mit gestaffelter Verantwortung: Kliniker für kontextuelle, patientenzentrierte Urteile; Entwickler für Design und Validierung; Organisationen für Beschaffung und lokale Integration. Vier Falldomänen analysiert (Chatbots, Suizidprognose, Passive Monitoring, LLM-Dokumentation). Bestehende EU-Instrumente (AI Act, MDR, GDPR) setzen Governance-Pflichten, definieren aber kein harmonisiertes Haftungsregime.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Perspektive (Portugal, Deutschland, Polen, Italien); direkt auf deutsches Recht und Psychiatrie anwendbar.</w:t>
      </w:r>
    </w:p>
    <w:p>
      <w:r>
        <w:rPr>
          <w:color w:val="5A7D3A"/>
          <w:sz w:val="18"/>
        </w:rPr>
        <w:t>https://pubmed.ncbi.nlm.nih.gov/42832687/</w:t>
      </w:r>
    </w:p>
    <w:p>
      <w:pPr>
        <w:pStyle w:val="Heading2"/>
      </w:pPr>
      <w:r>
        <w:t>KI-Funktionen in EUDAMED: Mangelnde öffentliche Nachverfolgbarkeit</w:t>
      </w:r>
    </w:p>
    <w:p>
      <w:r>
        <w:rPr>
          <w:i/>
          <w:color w:val="666666"/>
          <w:sz w:val="18"/>
        </w:rPr>
        <w:t>Marconi L et al.  ·  Int J Med Inform  ·  26.09.2026  ·  PMID 42800404</w:t>
      </w:r>
    </w:p>
    <w:p>
      <w:r>
        <w:t>Cross-sectional Studie zur Prüfung, wie vollständig und transparent KI-gestützte Medizinprodukte in der europäischen Datenbank EUDAMED dokumentiert sind.</w:t>
      </w:r>
    </w:p>
    <w:p>
      <w:r>
        <w:rPr>
          <w:b/>
        </w:rPr>
        <w:t xml:space="preserve">Ergebnis: </w:t>
      </w:r>
      <w:r>
        <w:t>Von 1.546 Geräte-Datensätzen erfüllten 386 (25,0%) das Kriterium 'KI-gestützt'. Nur 28 (1,81% aller Geräte; 7,3% der KI-Geräte) enthielten KI-Evidenz direkt in EUDAMED; 358 (92,7%) erforderten externe Quellen. Kodierer-Übereinstimmung: 98,12% (Cohen κ=0,318). Class IIa dominant (65,8%), Diagnose/Dateninterpretation 60,6%.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EU-Regulierung, direkt auf deutsches Zulassungssystem (MDR, DiGAV) anwendbar.</w:t>
      </w:r>
    </w:p>
    <w:p>
      <w:r>
        <w:rPr>
          <w:color w:val="5A7D3A"/>
          <w:sz w:val="18"/>
        </w:rPr>
        <w:t>https://pubmed.ncbi.nlm.nih.gov/42800404/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2026-10-07T06:00:00Z</dcterms:created>
  <dcterms:modified xsi:type="dcterms:W3CDTF">2026-10-07T06:00:00Z</dcterms:modified>
  <cp:category/>
</cp:coreProperties>
</file>