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18.09.2026  |  6 Studien  |  ki.m-vf.de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AI-Scribe-Implementierung in Kliniken mit Arbeitnehmer-Tarifverträgen: USA-Pilot</w:t>
      </w:r>
    </w:p>
    <w:p>
      <w:r>
        <w:rPr>
          <w:i/>
          <w:color w:val="666666"/>
          <w:sz w:val="18"/>
        </w:rPr>
        <w:t>Wright A et al.  ·  JMIR Form Res  ·  17.09.2026  ·  PMID 42753263</w:t>
      </w:r>
    </w:p>
    <w:p>
      <w:r>
        <w:t>Pilotprojekt zum Einsatz des Abridge-AI-Scribes bei 15 Ambulanz-Fachkräften (NP, PA) in gewerkschaftlich organisierten US-Klinik mit 11-wöchigem Feldtest und strukturiertem Labor-Engagement-Prozess.</w:t>
      </w:r>
    </w:p>
    <w:p>
      <w:r>
        <w:rPr>
          <w:b/>
        </w:rPr>
        <w:t xml:space="preserve">Ergebnis: </w:t>
      </w:r>
      <w:r>
        <w:t>AI-Scribe in 66,7% der 8100 Encounters genutzt (Spanne 30–89%), durchschnittlich 78% des AI-generierten Inhalts beibehalten. Dokumentationszeit Pilotgruppe 6 Min (vs. 14 Min Kontrollgruppe); same-day-closure 90% vs. 72%. Gewerkschaften stimmten Implementierung zu, nachdem Sicherheitsvorkehrungen und optionale Nutzung demonstriert wurden.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gering übertragbar; zeigt aber internationales Modell für Gewerkschafts-kooperation und numerische Befunde zur Zeitersparnis.</w:t>
      </w:r>
    </w:p>
    <w:p>
      <w:r>
        <w:rPr>
          <w:color w:val="5A7D3A"/>
          <w:sz w:val="18"/>
        </w:rPr>
        <w:t>https://pubmed.ncbi.nlm.nih.gov/42753263/</w:t>
      </w:r>
    </w:p>
    <w:p>
      <w:pPr>
        <w:pStyle w:val="Heading2"/>
      </w:pPr>
      <w:r>
        <w:t>Semantische Suche für Förderprodukte: Verbesserung der Projektentdeckung am Innovationsausschuss</w:t>
      </w:r>
    </w:p>
    <w:p>
      <w:r>
        <w:rPr>
          <w:i/>
          <w:color w:val="666666"/>
          <w:sz w:val="18"/>
        </w:rPr>
        <w:t>Gundler C et al.  ·  Stud Health Technol Inform  ·  17.09.2026  ·  PMID 42752490</w:t>
      </w:r>
    </w:p>
    <w:p>
      <w:r>
        <w:t>Entwicklung und Evaluierung eines semantischen Suchtools mit vektorbasierten Natural-Language-Retrieval für die Recherche von über 800 vom Innovationsausschuss des G-BA geförderten Projekten, um Vokabularprobleme zu adressieren.</w:t>
      </w:r>
    </w:p>
    <w:p>
      <w:r>
        <w:rPr>
          <w:b/>
        </w:rPr>
        <w:t xml:space="preserve">Ergebnis: </w:t>
      </w:r>
      <w:r>
        <w:t>Die semantische Retrieval ermöglichte eine bedeutsam verbesserte Projektentdeckung bei einer kontrollierten Vergleichsstudie mit drei erfahrenen Nutzern, was auf praktischen Mehrwert für evidenzgestützte Forschungsabläufe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(G-BA Förderprodukte), direkt relevant für deutsche Versorgungslandschaft.</w:t>
      </w:r>
    </w:p>
    <w:p>
      <w:r>
        <w:rPr>
          <w:color w:val="5A7D3A"/>
          <w:sz w:val="18"/>
        </w:rPr>
        <w:t>https://pubmed.ncbi.nlm.nih.gov/42752490/</w:t>
      </w:r>
    </w:p>
    <w:p>
      <w:pPr>
        <w:pStyle w:val="Heading2"/>
      </w:pPr>
      <w:r>
        <w:t>Large Language Models für klinische Statistikauswertung: Validierung gegen Experten-Analysen</w:t>
      </w:r>
    </w:p>
    <w:p>
      <w:r>
        <w:rPr>
          <w:i/>
          <w:color w:val="666666"/>
          <w:sz w:val="18"/>
        </w:rPr>
        <w:t>Sam J et al.  ·  Stud Health Technol Inform  ·  17.09.2026  ·  PMID 42752488</w:t>
      </w:r>
    </w:p>
    <w:p>
      <w:r>
        <w:t>Benchmarking von fünf aktuellen LLMs (GPT, Claude, Gemini, Perplexity, Grok) auf ihre Fähigkeit, expertvalidierte statistische Analysen aus klinischen Studienworkflows (deskriptive Tabellen, Kaplan-Meier, Cox-Modellierung) zu reproduzieren.</w:t>
      </w:r>
    </w:p>
    <w:p>
      <w:r>
        <w:rPr>
          <w:b/>
        </w:rPr>
        <w:t xml:space="preserve">Ergebnis: </w:t>
      </w:r>
      <w:r>
        <w:t>Alle fünf Modelle erzeugten korrekte deskriptive Statistiken bei expliziten Variablendefinitionen. Bei Kaplan-Meier-Analysen reproduzierten alle das korrekte p-value, bei Cox-Analysen vier von fünf die geforderten Hazard-Ratios. LLM-Outputs erfordern vor Nutzung in Kliniken sorgfältige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 und Studiennetzwerke, empirisches Benchmark relevanter Modelle.</w:t>
      </w:r>
    </w:p>
    <w:p>
      <w:r>
        <w:rPr>
          <w:color w:val="5A7D3A"/>
          <w:sz w:val="18"/>
        </w:rPr>
        <w:t>https://pubmed.ncbi.nlm.nih.gov/42752488/</w:t>
      </w:r>
    </w:p>
    <w:p>
      <w:pPr>
        <w:pStyle w:val="Heading2"/>
      </w:pPr>
      <w:r>
        <w:t>Lokale LLM-basierte Extraktion von Antikoagulanzien-Therapiewechsel aus deutschen Ärztebriefbrifen</w:t>
      </w:r>
    </w:p>
    <w:p>
      <w:r>
        <w:rPr>
          <w:i/>
          <w:color w:val="666666"/>
          <w:sz w:val="18"/>
        </w:rPr>
        <w:t>Richter-Pechanski P et al.  ·  Stud Health Technol Inform  ·  17.09.2026  ·  PMID 42752478</w:t>
      </w:r>
    </w:p>
    <w:p>
      <w:r>
        <w:t>Anwendung eines lokal gehosteten, feinabgestimmten Llama-3.1-70b-Modells zur Extraktion von Medikationsinformationen aus German Clinical Routine Data und Detektion des Therapiewechsels von Vitamin-K-Antagonisten zu DOACs in Kardiologie-Briefen von 2012 bis 2020/21.</w:t>
      </w:r>
    </w:p>
    <w:p>
      <w:r>
        <w:rPr>
          <w:b/>
        </w:rPr>
        <w:t xml:space="preserve">Ergebnis: </w:t>
      </w:r>
      <w:r>
        <w:t>DOAC-Anteil stieg von 16,9% (2012) auf 59,9% (2020/21), VKA-Anteil sank von 37,7% auf 9,9%. Modelle verallgemeinerten auf unbekannte ältere Briefe (2012) erfolgreich. Fehler hauptsächlich bei generischen Medikamentennennungen und fehlenden Medikament-Indikations-Relationen.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lokale Verarbeitung auf Kliniks-Infrastruktur, direkt auf deutschsprachige Daten angewendet.</w:t>
      </w:r>
    </w:p>
    <w:p>
      <w:r>
        <w:rPr>
          <w:color w:val="5A7D3A"/>
          <w:sz w:val="18"/>
        </w:rPr>
        <w:t>https://pubmed.ncbi.nlm.nih.gov/42752478/</w:t>
      </w:r>
    </w:p>
    <w:p>
      <w:pPr>
        <w:pStyle w:val="Heading2"/>
      </w:pPr>
      <w:r>
        <w:t>Sichere Transfer von klinischen Decision-Support-Systemen zwischen Universitätskliniken</w:t>
      </w:r>
    </w:p>
    <w:p>
      <w:r>
        <w:rPr>
          <w:i/>
          <w:color w:val="666666"/>
          <w:sz w:val="18"/>
        </w:rPr>
        <w:t>Hoffmann K et al.  ·  Stud Health Technol Inform  ·  17.09.2026  ·  PMID 42752474</w:t>
      </w:r>
    </w:p>
    <w:p>
      <w:r>
        <w:t>Strukturierte Untersuchung der Realisierung von Modulen eines In-House-CDSS (Acute-Kidney-Injury-Vorhersage) von einer Universitätsklinik zu einer zweiten, basierend auf dem NASSS-Rahmen und differenziert zwischen standortunabhängigen und lokal angepassten Komponenten.</w:t>
      </w:r>
    </w:p>
    <w:p>
      <w:r>
        <w:rPr>
          <w:b/>
        </w:rPr>
        <w:t xml:space="preserve">Ergebnis: </w:t>
      </w:r>
      <w:r>
        <w:t>Identifizierte Erfolgsfaktoren: modulare, adaptierbare Komponenten; transparente Datenpipelines; tailored UIs; frühes Stakeholder-Engagement; robuste Compliance- und QM-Kapazitäten. System in Produktion, intendiert für Unterstützung der Kliniker bei Patienten mit akutem Nierenschadenrisiko.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(zwei Universitätskliniken), vergleichbare Strukturen und Regulierung, höchste Übertragbarkeit.</w:t>
      </w:r>
    </w:p>
    <w:p>
      <w:r>
        <w:rPr>
          <w:color w:val="5A7D3A"/>
          <w:sz w:val="18"/>
        </w:rPr>
        <w:t>https://pubmed.ncbi.nlm.nih.gov/42752474/</w:t>
      </w:r>
    </w:p>
    <w:p>
      <w:pPr>
        <w:pStyle w:val="Heading2"/>
      </w:pPr>
      <w:r>
        <w:t>Digitale Transformation deutscher Krankenhäuser 2017–2025: Stagnation trotz KHZG-Förderung</w:t>
      </w:r>
    </w:p>
    <w:p>
      <w:r>
        <w:rPr>
          <w:i/>
          <w:color w:val="666666"/>
          <w:sz w:val="18"/>
        </w:rPr>
        <w:t>Kücking F et al.  ·  Stud Health Technol Inform  ·  17.09.2026  ·  PMID 42752472</w:t>
      </w:r>
    </w:p>
    <w:p>
      <w:r>
        <w:t>Panel-Studie mit 49 deutschen Krankenhäusern 2017–2025, evaluierend Fortschritte in fünf Domänen (Dokumentation, CPOE, CDSS, Medikamentenverwaltung, Entlassmanagement) im Kontext der Hospital-Future-Act-Förderung (KHZG).</w:t>
      </w:r>
    </w:p>
    <w:p>
      <w:r>
        <w:rPr>
          <w:b/>
        </w:rPr>
        <w:t xml:space="preserve">Ergebnis: </w:t>
      </w:r>
      <w:r>
        <w:t>Signifikante Verbesserungen nur in Medikamentenverwaltung (p=0,009 in 2023; p=0,044 in 2025) und Entlassmanagement (p&lt;0,001 in 2025). Die meisten KHZG-Projekte in Dokumentation und Entlassmanagement waren 2025 noch nicht abgeschlossen. Digitale Reife stieg teilweise nur durch administrative Verzögerungen und Implementierungsengpässe.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(Stichprobe deutscher Krankenhäuser), direkt für deutsche Policy und Versorgungsplanung relevant.</w:t>
      </w:r>
    </w:p>
    <w:p>
      <w:r>
        <w:rPr>
          <w:color w:val="5A7D3A"/>
          <w:sz w:val="18"/>
        </w:rPr>
        <w:t>https://pubmed.ncbi.nlm.nih.gov/42752472/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2026-09-18T06:00:00Z</dcterms:created>
  <dcterms:modified xsi:type="dcterms:W3CDTF">2026-09-18T06:00:00Z</dcterms:modified>
  <cp:category/>
</cp:coreProperties>
</file>