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16.10.2026  |  6 Studien  |  ki.m-vf.de</w:t>
      </w:r>
    </w:p>
    <w:p>
      <w:pPr>
        <w:pStyle w:val="Heading1"/>
      </w:pPr>
      <w:r>
        <w:t>Aufgenommen am 16.10.2026</w:t>
      </w:r>
    </w:p>
    <w:p>
      <w:pPr>
        <w:pStyle w:val="Heading2"/>
      </w:pPr>
      <w:r>
        <w:t>LLM mit Retrieval-Augmented Generation für Prüfung von Einwilligungserklärungen</w:t>
      </w:r>
    </w:p>
    <w:p>
      <w:r>
        <w:rPr>
          <w:i/>
          <w:color w:val="666666"/>
          <w:sz w:val="18"/>
        </w:rPr>
        <w:t>Amugongo LM et al.  ·  JMIR Med Inform  ·  15.10.2026  ·  PMID 42879775</w:t>
      </w:r>
    </w:p>
    <w:p>
      <w:r>
        <w:t>Evaluation von GPT-4.1 mit Retrieval-Augmented Generation (RAG) zur automatisierten Analyse von Data-Reuse-Klauseln in 438 klinischen Einwilligungserklärungen aus mehreren Ländern und Sprachen.</w:t>
      </w:r>
    </w:p>
    <w:p>
      <w:r>
        <w:rPr>
          <w:b/>
        </w:rPr>
        <w:t xml:space="preserve">Ergebnis: </w:t>
      </w:r>
      <w:r>
        <w:t>Anfängliche Genauigkeit 81,6%; nach drei iterativen Optimierungsrunden auf 92,1% gesteigert (104 Test-Dokumente). Baseline-Genauigkeit in Validierungsphase 84,0%. System extrahierte Data-Reuse-Information zuverlässig über mehrere Sprachen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Boehringer-Ingelheim-Daten, deutschsprachig; relevant für GDPR-Compliance und internationale Datennutzung in klinischen Studien</w:t>
      </w:r>
    </w:p>
    <w:p>
      <w:r>
        <w:rPr>
          <w:color w:val="5A7D3A"/>
          <w:sz w:val="18"/>
        </w:rPr>
        <w:t>https://pubmed.ncbi.nlm.nih.gov/42879775/</w:t>
      </w:r>
    </w:p>
    <w:p>
      <w:pPr>
        <w:pStyle w:val="Heading2"/>
      </w:pPr>
      <w:r>
        <w:t>Akzeptanz von Videosprechstunden in China: Trend über COVID-19-Pandemie hinweg</w:t>
      </w:r>
    </w:p>
    <w:p>
      <w:r>
        <w:rPr>
          <w:i/>
          <w:color w:val="666666"/>
          <w:sz w:val="18"/>
        </w:rPr>
        <w:t>Chen K et al.  ·  J Med Internet Res  ·  15.10.2026  ·  PMID 42879773</w:t>
      </w:r>
    </w:p>
    <w:p>
      <w:r>
        <w:t>Wiederholte Querschnittsumfrage bei n=340–1373 Krankenhauspatienten in Zhejiang 2021–2024 zur Willingness-to-Use (WTU) virtueller Besuche über den Übergang von Eindämmung zu Routinemanagement.</w:t>
      </w:r>
    </w:p>
    <w:p>
      <w:r>
        <w:rPr>
          <w:b/>
        </w:rPr>
        <w:t xml:space="preserve">Ergebnis: </w:t>
      </w:r>
      <w:r>
        <w:t>WTU bei 70,9% (2021), 71,4% (2022), 62,3% (2023), 75,4% (2024). College-Ausbildung und Internetnutzung konsistent mit höherer WTU in allen vier Jahren. Alter, Einkommen und Selbstbewertung der Gesundheit variierten in der Assoziation über Jahre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wirtschaftlich und digital entwickelte Region; zeigt persistente Akzeptanz, aber differenzierte Determinanten—begrenzt übertragbar auf Deutschland ohne Kontext</w:t>
      </w:r>
    </w:p>
    <w:p>
      <w:r>
        <w:rPr>
          <w:color w:val="5A7D3A"/>
          <w:sz w:val="18"/>
        </w:rPr>
        <w:t>https://pubmed.ncbi.nlm.nih.gov/42879773/</w:t>
      </w:r>
    </w:p>
    <w:p>
      <w:pPr>
        <w:pStyle w:val="Heading2"/>
      </w:pPr>
      <w:r>
        <w:t>Entscheidungsunterstützung für Muskelskelettkrankeiten: Wirkung auf Versorgungsqualität in Hausarztpraxen</w:t>
      </w:r>
    </w:p>
    <w:p>
      <w:r>
        <w:rPr>
          <w:i/>
          <w:color w:val="666666"/>
          <w:sz w:val="18"/>
        </w:rPr>
        <w:t>Hill J et al.  ·  J Med Internet Res  ·  15.10.2026  ·  PMID 42879770</w:t>
      </w:r>
    </w:p>
    <w:p>
      <w:r>
        <w:t>Randomisierte Studie zur Wirkung eines web-basierten Clinical Decision Support Systems (CDSS) auf die Behandlungsqualität bei Muskelskelettkrankeiten in UK-Hausarztpraxen, verglichen mit Standardversorgung.</w:t>
      </w:r>
    </w:p>
    <w:p>
      <w:r>
        <w:rPr>
          <w:b/>
        </w:rPr>
        <w:t xml:space="preserve">Ergebnis: </w:t>
      </w:r>
      <w:r>
        <w:t>Wenn das CDSS genutzt wurde (8,6% der Fälle), sank die Rate suboptimaler Behandlung von 25% auf 3% (adjustierte OR 12,30; 95%-KI 2,52–59,9; p=0,002). Es erhöhte Selbstmanagement und Gemeindereferrals, reduzierte Verschreibungen. Sicherheitsbedenken bei 6,6% der Nutzungen ohne high-risk-Probleme. Gesamteinbindung begrenzt; Einsparungen auf 10% Annual Cost geschätzt.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UK-Primärversorgung; vergleichbare Anforderungen wie deutsches Hausarztmodell, aber niedrigere tatsächliche Nutzungsrate deutet auf Integrationshürden hin</w:t>
      </w:r>
    </w:p>
    <w:p>
      <w:r>
        <w:rPr>
          <w:color w:val="5A7D3A"/>
          <w:sz w:val="18"/>
        </w:rPr>
        <w:t>https://pubmed.ncbi.nlm.nih.gov/42879770/</w:t>
      </w:r>
    </w:p>
    <w:p>
      <w:pPr>
        <w:pStyle w:val="Heading2"/>
      </w:pPr>
      <w:r>
        <w:t>KI-gestützte Telerehabilitation gegen Nackensteife: Nichtunterlegenheits-RCT</w:t>
      </w:r>
    </w:p>
    <w:p>
      <w:r>
        <w:rPr>
          <w:i/>
          <w:color w:val="666666"/>
          <w:sz w:val="18"/>
        </w:rPr>
        <w:t>Zhao Y et al.  ·  JMIR Form Res  ·  15.10.2026  ·  PMID 42879432</w:t>
      </w:r>
    </w:p>
    <w:p>
      <w:r>
        <w:t>Randomisierte Nichtunterlegenheits-Studie an zwei Zentren (Peking Union Medical College Hospital, Beijing Jishuitan Hospital) mit 116 Patienten zu KI-gestützter Home-Rehabilitation vs. Standardtherapie bei chronischen Nackenschmerzen.</w:t>
      </w:r>
    </w:p>
    <w:p>
      <w:r>
        <w:rPr>
          <w:b/>
        </w:rPr>
        <w:t xml:space="preserve">Ergebnis: </w:t>
      </w:r>
      <w:r>
        <w:t>Telerehabilitation nicht unterlegen (NDI-Unterschied Woche 24: −2,5 Punkte; 95%-KI −6,2 bis 1,2; p=0,15; Obergrenze &lt;5 Punkte). Beide Gruppen zeigten klinisch bedeutsame Verbesserungen in Schmerz, Lebensqualität und Bewegungsumfang. Keine Intervention-bedingten Schäden.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verifiziert KI-Bewegungserkennung für Ferntherapie, aber Übertragbarkeit auf deutsche Versorgung abhängig von Zulassung und Kostenübernahme</w:t>
      </w:r>
    </w:p>
    <w:p>
      <w:r>
        <w:rPr>
          <w:color w:val="5A7D3A"/>
          <w:sz w:val="18"/>
        </w:rPr>
        <w:t>https://pubmed.ncbi.nlm.nih.gov/42879432/</w:t>
      </w:r>
    </w:p>
    <w:p>
      <w:pPr>
        <w:pStyle w:val="Heading2"/>
      </w:pPr>
      <w:r>
        <w:t>Wie Studienautoren Outcomes für Digital-Therapeutics-Trials auswählen: qualitative Analyse</w:t>
      </w:r>
    </w:p>
    <w:p>
      <w:r>
        <w:rPr>
          <w:i/>
          <w:color w:val="666666"/>
          <w:sz w:val="18"/>
        </w:rPr>
        <w:t>Mahlmann J et al.  ·  JMIR Form Res  ·  15.10.2026  ·  PMID 42878726</w:t>
      </w:r>
    </w:p>
    <w:p>
      <w:r>
        <w:t>Qualitative Studie mit 19 semistrukturierten Interviews mit Experten zur Methodik der Outcome-Auswahl in Digital-Therapeutics-Studien, durchgeführt August–November 2024.</w:t>
      </w:r>
    </w:p>
    <w:p>
      <w:r>
        <w:rPr>
          <w:b/>
        </w:rPr>
        <w:t xml:space="preserve">Ergebnis: </w:t>
      </w:r>
      <w:r>
        <w:t>Outcome-Auswahl basierte primär auf Forschungsstand, persönlicher Erfahrung und praktischer Machbarkeit. Fast alle Interviewten sahen standardisierte Core Outcome Sets (COS) als geeignet für bessere Vergleichbarkeit zwischen DTx-Studien an, identifizierten aber auch kritische Perspektiven zur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Witten/Herdecke und Fraunhofer ISST Deutschland; adressiert das Evidenzproblem regulatorisch relevanter Nutzenbewertung</w:t>
      </w:r>
    </w:p>
    <w:p>
      <w:r>
        <w:rPr>
          <w:color w:val="5A7D3A"/>
          <w:sz w:val="18"/>
        </w:rPr>
        <w:t>https://pubmed.ncbi.nlm.nih.gov/42878726/</w:t>
      </w:r>
    </w:p>
    <w:p>
      <w:pPr>
        <w:pStyle w:val="Heading2"/>
      </w:pPr>
      <w:r>
        <w:t>Telemedizinische Pharmazie-Konsilien für Polypharmazie in der Hausarztpraxis: qualitative Studie</w:t>
      </w:r>
    </w:p>
    <w:p>
      <w:r>
        <w:rPr>
          <w:i/>
          <w:color w:val="666666"/>
          <w:sz w:val="18"/>
        </w:rPr>
        <w:t>Henriksen DP  ·  Basic Clin Pharmacol Toxicol  ·  Nov. 2026  ·  PMID 42877986</w:t>
      </w:r>
    </w:p>
    <w:p>
      <w:r>
        <w:t>Qualitative Studie mit sieben dänischen Hausärzten zur Nutzung einer videgestützten telemedizinischen Pharmakologie-Sprechstunde (TPOC) zur Medikationsprüfung und Koordination.</w:t>
      </w:r>
    </w:p>
    <w:p>
      <w:r>
        <w:rPr>
          <w:b/>
        </w:rPr>
        <w:t xml:space="preserve">Ergebnis: </w:t>
      </w:r>
      <w:r>
        <w:t>Hausärzte berichteten Reduktion der mentalen Workload, bessere Unterstützung bei Deprescribing und Transfer von Apothekerwissen auf nicht-überwiesene Patienten. Weitverbreitung hemmt fehlende Integration in Praxissoftware sowie Awareness und Zeitdruck—nicht Zweifel am Service.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südlicher Landesteil; vergleichbares Versicherungssystem, zeigt Implementierungshürden für sektorübergreifende Digitallösungen</w:t>
      </w:r>
    </w:p>
    <w:p>
      <w:r>
        <w:rPr>
          <w:color w:val="5A7D3A"/>
          <w:sz w:val="18"/>
        </w:rPr>
        <w:t>https://pubmed.ncbi.nlm.nih.gov/42877986/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2026-10-16T06:00:00Z</dcterms:created>
  <dcterms:modified xsi:type="dcterms:W3CDTF">2026-10-16T06:00:00Z</dcterms:modified>
  <cp:category/>
</cp:coreProperties>
</file>