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Neueste Studien - Digitalisierung, KI und Gesundheit</w:t>
      </w:r>
    </w:p>
    <w:p>
      <w:r>
        <w:rPr>
          <w:i/>
          <w:color w:val="666666"/>
          <w:sz w:val="18"/>
        </w:rPr>
        <w:t>Stand: 28.10.2026  |  6 Studien  |  ki.m-vf.de</w:t>
      </w:r>
    </w:p>
    <w:p>
      <w:pPr>
        <w:pStyle w:val="Heading1"/>
      </w:pPr>
      <w:r>
        <w:t>Aufgenommen am 28.10.2026</w:t>
      </w:r>
    </w:p>
    <w:p>
      <w:pPr>
        <w:pStyle w:val="Heading2"/>
      </w:pPr>
      <w:r>
        <w:t>KI-gestützte Echtzeit-Dokumentationsprüfung in Kliniken: siebenjährige Längsschnittevaluationen zeigen Verbesserungen</w:t>
      </w:r>
    </w:p>
    <w:p>
      <w:r>
        <w:rPr>
          <w:i/>
          <w:color w:val="666666"/>
          <w:sz w:val="18"/>
        </w:rPr>
        <w:t>Zhu S et al.  ·  JMIR Med Inform  ·  27.10.2026  ·  PMID 42945531</w:t>
      </w:r>
    </w:p>
    <w:p>
      <w:r>
        <w:t>Evaluierung eines KI-gestützten Zweilevel-Systems für Dokumentationsprüfung (Echtzeit-Prompting während Eingabe, Blockierung bei Abschluss) an 43.324 Klinikaufenthalten über 84 Monate (2019–2025) an einem chinesischen Universitätsklinikum.</w:t>
      </w:r>
    </w:p>
    <w:p>
      <w:r>
        <w:rPr>
          <w:b/>
        </w:rPr>
        <w:t xml:space="preserve">Ergebnis: </w:t>
      </w:r>
      <w:r>
        <w:t>Mängel in stabilen Regeln stiegen von 16,7% (2021) auf 50,9% (2023), was verbesserter Systemsensitivität entspricht. Hochrisiko-Fallrate sank nach Juli 2023 signifikant (Trendänderung −0,09, 95%-KI −0,15 bis −0,02, p=0,007). KI-gestützte Schreib-Rückwärts-Rate &gt;97% ab August 2023. Interreviewer-Konsistenz stark verbessert: Varianzkoeffizient von 115,7% auf 26,8%, ICC von 0,782 auf 0,317.</w:t>
      </w:r>
    </w:p>
    <w:p>
      <w:r>
        <w:rPr>
          <w:b/>
          <w:sz w:val="19"/>
        </w:rPr>
        <w:t xml:space="preserve">Übertragbarkeit: </w:t>
      </w:r>
      <w:r>
        <w:rPr>
          <w:sz w:val="19"/>
        </w:rPr>
        <w:t>Chinesische Klinikdaten; Konzept aber strukturell auf europäische EHR-Systeme übertragbar.</w:t>
      </w:r>
    </w:p>
    <w:p>
      <w:r>
        <w:rPr>
          <w:color w:val="5A7D3A"/>
          <w:sz w:val="18"/>
        </w:rPr>
        <w:t>https://pubmed.ncbi.nlm.nih.gov/42945531/</w:t>
      </w:r>
    </w:p>
    <w:p>
      <w:pPr>
        <w:pStyle w:val="Heading2"/>
      </w:pPr>
      <w:r>
        <w:t>LLM extrahiert Funktionsfähigkeits-Scores aus Rehabilitations-Noten: Retrospec-Validierung an 164.039 Einträgen</w:t>
      </w:r>
    </w:p>
    <w:p>
      <w:r>
        <w:rPr>
          <w:i/>
          <w:color w:val="666666"/>
          <w:sz w:val="18"/>
        </w:rPr>
        <w:t>Nishiyama T et al.  ·  JMIR Med Inform  ·  27.10.2026  ·  PMID 42945530</w:t>
      </w:r>
    </w:p>
    <w:p>
      <w:r>
        <w:t>Retrospektive Evaluierung eines lokal eingesetzten LLM zur Schätzung von Functional-Independence-Measure-(FIM-)Items aus freiem Text von Physio-, Ergo- und Logopädie-Noten (Oktober 2019–September 2024) an Patienten mit Schlaganfall, Hüftfraktur oder Wirbelbruch.</w:t>
      </w:r>
    </w:p>
    <w:p>
      <w:r>
        <w:rPr>
          <w:b/>
        </w:rPr>
        <w:t xml:space="preserve">Ergebnis: </w:t>
      </w:r>
      <w:r>
        <w:t>Von 2.952.702 geeigneten Note-Item-Paaren produzierten das Modell 980.000 gültige Schätzungen (Gesamtquote 33,2%). Bei 57.246 Note-Item-Paaren mit Referenzscore am selben Tag waren 77,7% (44.481) innerhalb von 1 Punkt des Referenzscore. Mittlerer absoluter Fehler 0,825 (besser als Modal-Score-Baseline, aber höher als Last-Observation-Carried-Forward 0,648).</w:t>
      </w:r>
    </w:p>
    <w:p>
      <w:r>
        <w:rPr>
          <w:b/>
          <w:sz w:val="19"/>
        </w:rPr>
        <w:t xml:space="preserve">Übertragbarkeit: </w:t>
      </w:r>
      <w:r>
        <w:rPr>
          <w:sz w:val="19"/>
        </w:rPr>
        <w:t>Japanische Rehabilitations-Daten; sprachspezifisches Modell, aber Konzept auf deutschsprachige Noten übertragbar.</w:t>
      </w:r>
    </w:p>
    <w:p>
      <w:r>
        <w:rPr>
          <w:color w:val="5A7D3A"/>
          <w:sz w:val="18"/>
        </w:rPr>
        <w:t>https://pubmed.ncbi.nlm.nih.gov/42945530/</w:t>
      </w:r>
    </w:p>
    <w:p>
      <w:pPr>
        <w:pStyle w:val="Heading2"/>
      </w:pPr>
      <w:r>
        <w:t>LLM-gesteuerte Avatar-Patienten für Trainings in Shared Decision-Making: Akzeptanz bei Medizinstudierenden</w:t>
      </w:r>
    </w:p>
    <w:p>
      <w:r>
        <w:rPr>
          <w:i/>
          <w:color w:val="666666"/>
          <w:sz w:val="18"/>
        </w:rPr>
        <w:t>Van Bostraeten P et al.  ·  JMIR Form Res  ·  27.10.2026  ·  PMID 42944729</w:t>
      </w:r>
    </w:p>
    <w:p>
      <w:r>
        <w:t>Entwicklung und Akzeptanzprüfung eines web-basierten Systems mit photorealistischen 3D-Avataren und Echtzeit-Sprachdialog (LLM-basiert) zur Schulung von Shared-Decision-Making-Kompetenzen bei Medizinstudierenden an der KU Leuven (November–Dezember 2025).</w:t>
      </w:r>
    </w:p>
    <w:p>
      <w:r>
        <w:rPr>
          <w:b/>
        </w:rPr>
        <w:t xml:space="preserve">Ergebnis: </w:t>
      </w:r>
      <w:r>
        <w:t>24 von 25 Studierenden einbezogen. Wahrgenommene Nützlichkeit höchste Bewertung (Mittelwert 4,43, SD 0,50), gefolgt von Nutzungsabsicht (4,42, SD 0,59) und wahrgenommener Benutzerfreundlichkeit (3,81, SD 0,68) auf 5er-Likert-Skala. Qualitative Ergebnisse zeigen hohe Wertschätzung für sichere Lernumgebung; technische Probleme (Mikrofon, Einfrieren, Abstürze) als häufigste Verbesserungswünsche.</w:t>
      </w:r>
    </w:p>
    <w:p>
      <w:r>
        <w:rPr>
          <w:b/>
          <w:sz w:val="19"/>
        </w:rPr>
        <w:t xml:space="preserve">Übertragbarkeit: </w:t>
      </w:r>
      <w:r>
        <w:rPr>
          <w:sz w:val="19"/>
        </w:rPr>
        <w:t>Belgische Mediziner-Ausbildung, europäisches Gesundheitssystem; direkt auf deutschsprachige Universitäten übertragbar.</w:t>
      </w:r>
    </w:p>
    <w:p>
      <w:r>
        <w:rPr>
          <w:color w:val="5A7D3A"/>
          <w:sz w:val="18"/>
        </w:rPr>
        <w:t>https://pubmed.ncbi.nlm.nih.gov/42944729/</w:t>
      </w:r>
    </w:p>
    <w:p>
      <w:pPr>
        <w:pStyle w:val="Heading2"/>
      </w:pPr>
      <w:r>
        <w:t>Smartphone-App für Blasentraining im Kindesalter: Prozessevaluierung zeigt Integrationshürden in NHS-Versorgung</w:t>
      </w:r>
    </w:p>
    <w:p>
      <w:r>
        <w:rPr>
          <w:i/>
          <w:color w:val="666666"/>
          <w:sz w:val="18"/>
        </w:rPr>
        <w:t>Beasant L et al.  ·  JMIR Nurs  ·  27.10.2026  ·  PMID 42944649</w:t>
      </w:r>
    </w:p>
    <w:p>
      <w:r>
        <w:t>Prozessevaluierung einer partizipativ entwickelten App (URApp) zur Unterstützung der Blasentrainings-Adhärenz bei Kindern und Jugendlichen (10–18 Jahre) mit Tagesinkontinenz an 5 englischen NHS-Zentren mit 20 Pflegefachpersonen über 18 Wochen (Normalization Measure Development-Fragebogen plus Fokusgruppen).</w:t>
      </w:r>
    </w:p>
    <w:p>
      <w:r>
        <w:rPr>
          <w:b/>
        </w:rPr>
        <w:t xml:space="preserve">Ergebnis: </w:t>
      </w:r>
      <w:r>
        <w:t>App wurde positiv wahrgenommen und als altersgerecht und nützlich bewertet. 20 Pflegefachpersonen stuften URApp als leicht anwendbar und funktionell im Einklang mit bestehender Blasentherapie ein. Integration in bestehende Versorgungspfade erwies sich aber als schwierig; Teams bevorzugten Papierblockbücher, zeigten Vertrauensdefizite beim Wechsel zu elektronischen Tagebüchern und Bedenken wegen fehlender elterlicher Einsicht in App-Daten.</w:t>
      </w:r>
    </w:p>
    <w:p>
      <w:r>
        <w:rPr>
          <w:b/>
          <w:sz w:val="19"/>
        </w:rPr>
        <w:t xml:space="preserve">Übertragbarkeit: </w:t>
      </w:r>
      <w:r>
        <w:rPr>
          <w:sz w:val="19"/>
        </w:rPr>
        <w:t>England, NHS-Struktur ähnlich deutscher Regelversorgung; Befunde zu Implementierungshürden übertragbar.</w:t>
      </w:r>
    </w:p>
    <w:p>
      <w:r>
        <w:rPr>
          <w:color w:val="5A7D3A"/>
          <w:sz w:val="18"/>
        </w:rPr>
        <w:t>https://pubmed.ncbi.nlm.nih.gov/42944649/</w:t>
      </w:r>
    </w:p>
    <w:p>
      <w:pPr>
        <w:pStyle w:val="Heading2"/>
      </w:pPr>
      <w:r>
        <w:t>KI-Entscheidungsunterstuetzung zur Magensondenlage in britischen Kliniken: externe Validierung zeigt Sicherheitsbedenken</w:t>
      </w:r>
    </w:p>
    <w:p>
      <w:r>
        <w:rPr>
          <w:i/>
          <w:color w:val="666666"/>
          <w:sz w:val="18"/>
        </w:rPr>
        <w:t>Bartsch AM et al.  ·  NEJM AI  ·  26.02.2026  ·  PMID 42932497</w:t>
      </w:r>
    </w:p>
    <w:p>
      <w:r>
        <w:t>Prospektive Validierungsstudie an 1605 Thorax-Röntgenaufnahmen in NHS-Trusts zur Überprüfung eines MDR-zertifizierten KI-Tools (Annalise Enterprise CXR) zur Erkennung unsicher platzierter Nasogastral-Sonden.</w:t>
      </w:r>
    </w:p>
    <w:p>
      <w:r>
        <w:rPr>
          <w:b/>
        </w:rPr>
        <w:t xml:space="preserve">Ergebnis: </w:t>
      </w:r>
      <w:r>
        <w:t>Sensitivität 0,87 (95%-KI 0,79–0,91) für unsicher sitzende Sonden, aber Spezifität nur 0,63 (95%-KI 0,61–0,66); 1% falsch-negative Fälle (17/1605), die "Never Events" verursachen könnten. Hohes Auftreten falsch-positiver Ergebnisse (34%) deutet auf Uneignung als primäres Entscheidungsunterstützungssystem hin.</w:t>
      </w:r>
    </w:p>
    <w:p>
      <w:r>
        <w:rPr>
          <w:b/>
          <w:sz w:val="19"/>
        </w:rPr>
        <w:t xml:space="preserve">Übertragbarkeit: </w:t>
      </w:r>
      <w:r>
        <w:rPr>
          <w:sz w:val="19"/>
        </w:rPr>
        <w:t>NHS-Daten, vergleichbares Versorgungssystem; Sicherheitsbefund unmittelbar relevant für europäische Kliniken.</w:t>
      </w:r>
    </w:p>
    <w:p>
      <w:r>
        <w:rPr>
          <w:color w:val="5A7D3A"/>
          <w:sz w:val="18"/>
        </w:rPr>
        <w:t>https://pubmed.ncbi.nlm.nih.gov/42932497/</w:t>
      </w:r>
    </w:p>
    <w:p>
      <w:pPr>
        <w:pStyle w:val="Heading2"/>
      </w:pPr>
      <w:r>
        <w:t>Fernmonitoring mit Patient-Reported Outcomes nach Brustbiopsie: Angst reduziert, Schmerz nicht signifikant vermindert</w:t>
      </w:r>
    </w:p>
    <w:p>
      <w:r>
        <w:rPr>
          <w:i/>
          <w:color w:val="666666"/>
          <w:sz w:val="18"/>
        </w:rPr>
        <w:t>Guerdoux E et al.  ·  Support Care Cancer  ·  22.10.2026  ·  PMID 42911430</w:t>
      </w:r>
    </w:p>
    <w:p>
      <w:r>
        <w:t>Französische Mehrarm-RCT (n=193) zur Wirkung von Fernmonitoring mittels Patient-Reported Outcomes (PRO) auf Schmerz und Angst nach Brustbiopsie; Vergleich: tägliche Telefonanrufe mit Psychoonkologie-Unterstützung vs. elektronische PRO-Schnittstelle (3 Tage) vs. Standardbetreuung.</w:t>
      </w:r>
    </w:p>
    <w:p>
      <w:r>
        <w:rPr>
          <w:b/>
        </w:rPr>
        <w:t xml:space="preserve">Ergebnis: </w:t>
      </w:r>
      <w:r>
        <w:t>Schmerz am Tag 4 vernachlässigbar (Median=0) und zwischen den Gruppen nicht signifikant unterschiedlich (p&gt;0,05). Anteil Patienten mit klinisch bedeutsamer Angst niedriger in Interventionsarmen am Tag 4 (p&lt;0,001); am Tag 10 nur in Telefon-PRO-Arm signifikant (adjustierter p=0,008). Fernüberwachung mit PRO, insbesondere mit menschlicher Intervention, könnte Angst reduzieren.</w:t>
      </w:r>
    </w:p>
    <w:p>
      <w:r>
        <w:rPr>
          <w:b/>
          <w:sz w:val="19"/>
        </w:rPr>
        <w:t xml:space="preserve">Übertragbarkeit: </w:t>
      </w:r>
      <w:r>
        <w:rPr>
          <w:sz w:val="19"/>
        </w:rPr>
        <w:t>Frankreich, ähnliches Versicherungssystem; Prozessmodell auf deutsche Brustzentren übertragbar.</w:t>
      </w:r>
    </w:p>
    <w:p>
      <w:r>
        <w:rPr>
          <w:color w:val="5A7D3A"/>
          <w:sz w:val="18"/>
        </w:rPr>
        <w:t>https://pubmed.ncbi.nlm.nih.gov/42911430/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Neueste Studien - Digitalisierung, KI und Gesundheit</dc:title>
  <dc:subject/>
  <dc:creator>Monitor Versorgungsforschung</dc:creator>
  <cp:keywords/>
  <dc:description>generated by python-docx</dc:description>
  <cp:lastModifiedBy/>
  <cp:revision>1</cp:revision>
  <dcterms:created xsi:type="dcterms:W3CDTF">2026-10-28T06:00:00Z</dcterms:created>
  <dcterms:modified xsi:type="dcterms:W3CDTF">2026-10-28T06:00:00Z</dcterms:modified>
  <cp:category/>
</cp:coreProperties>
</file>