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08.09.2026  |  6 Studien  |  ki.m-vf.de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PAVA-Score: Risikostratifizierung für okkultes Vorhofflimmern nach kryptogenem Schlaganfall</w:t>
      </w:r>
    </w:p>
    <w:p>
      <w:r>
        <w:rPr>
          <w:i/>
          <w:color w:val="666666"/>
          <w:sz w:val="18"/>
        </w:rPr>
        <w:t>Maille B et al.  ·  Europace  ·  02.09.2026  ·  PMID 42704767</w:t>
      </w:r>
    </w:p>
    <w:p>
      <w:r>
        <w:t>Entwicklung und Validierung eines Risiko-Scores zur Vorhersage von Vorhofflimmern bei Patienten mit implantierten Loop-Recordern nach kryptogenem Schlaganfall.</w:t>
      </w:r>
    </w:p>
    <w:p>
      <w:r>
        <w:rPr>
          <w:b/>
        </w:rPr>
        <w:t xml:space="preserve">Ergebnis: </w:t>
      </w:r>
      <w:r>
        <w:t>Der PAVA-Score (Premature Atrial Contractions, Age, Valvular disease, Left Atrial dilatation) identifiziert Patienten mit niedrigem Vorhofflimmern-Risiko: Ein Score ≤2 erreichte einen negativen Vorhersagewert von 89,2% in der Entwicklungs- und 100% in der Validierungskohorte (c-Index 0,73–0,79); 23,6% der Patienten konnten als niedrig-risiko stratifiziert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Französisches Multizentersystem mit klinischen ILR-Daten, vergleichbare Versorgungsstrukturen und diagnostische Standards.</w:t>
      </w:r>
    </w:p>
    <w:p>
      <w:r>
        <w:rPr>
          <w:color w:val="5A7D3A"/>
          <w:sz w:val="18"/>
        </w:rPr>
        <w:t>https://pubmed.ncbi.nlm.nih.gov/42704767/</w:t>
      </w:r>
    </w:p>
    <w:p>
      <w:pPr>
        <w:pStyle w:val="Heading2"/>
      </w:pPr>
      <w:r>
        <w:t>mHealth-gestützte Familienplanung im Postpartum: Kontrollierte Studie in Jordanien</w:t>
      </w:r>
    </w:p>
    <w:p>
      <w:r>
        <w:rPr>
          <w:i/>
          <w:color w:val="666666"/>
          <w:sz w:val="18"/>
        </w:rPr>
        <w:t>Khader Y et al.  ·  J Epidemiol Glob Health  ·  05.09.2026  ·  PMID 42704573</w:t>
      </w:r>
    </w:p>
    <w:p>
      <w:r>
        <w:t>Drei-Arm-Kontrollstudie mit verbesserte Beratung allein und kombiniert mit einer arabischsprachigen mHealth-App zur Steigerung moderner Verhütungsmethoden postpartal.</w:t>
      </w:r>
    </w:p>
    <w:p>
      <w:r>
        <w:rPr>
          <w:b/>
        </w:rPr>
        <w:t xml:space="preserve">Ergebnis: </w:t>
      </w:r>
      <w:r>
        <w:t>Nach 4 Monaten: Moderne Verhütung in Kontrollgruppe 17,2%, Beratungsgruppe 49,7%, Beratung+mHealth 59,9% (p&lt;0,001); Beratung+mHealth führte zu höheren Odds Ratios für moderne Verhütung (aOR=7,18; 95%-KI 4,85–10,63; p&lt;0,001) und ausschließliches Stillen (aOR=2,49; 95%-KI 1,78–3,49; p&lt;0,001) vs. Kontrolle.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Mittlerer Osten, aber methodologisch für mobile Gesundheitsinterventionen relevant; arabischsprachige Implementierung zeigt Übertragungspotenzial.</w:t>
      </w:r>
    </w:p>
    <w:p>
      <w:r>
        <w:rPr>
          <w:color w:val="5A7D3A"/>
          <w:sz w:val="18"/>
        </w:rPr>
        <w:t>https://pubmed.ncbi.nlm.nih.gov/42704573/</w:t>
      </w:r>
    </w:p>
    <w:p>
      <w:pPr>
        <w:pStyle w:val="Heading2"/>
      </w:pPr>
      <w:r>
        <w:t>Prehospital-Entscheidungshilfe für Schlaganfall-Triage: Stroke Triage App (STA)</w:t>
      </w:r>
    </w:p>
    <w:p>
      <w:r>
        <w:rPr>
          <w:i/>
          <w:color w:val="666666"/>
          <w:sz w:val="18"/>
        </w:rPr>
        <w:t>van de Wijdeven RM et al.  ·  Eur Stroke J  ·  05.09.2026  ·  PMID 42703715</w:t>
      </w:r>
    </w:p>
    <w:p>
      <w:r>
        <w:t>Evaluierung einer digitalen Entscheidungshilfe, die Paramedikern in Echtzeit Triage-Empfehlungen gibt, indem sie Schlaganfall-Schweregrad, Fahrtzeiten, Hospital-Workflows und zeitabhängige Behandlungseffekte integriert.</w:t>
      </w:r>
    </w:p>
    <w:p>
      <w:r>
        <w:rPr>
          <w:b/>
        </w:rPr>
        <w:t xml:space="preserve">Ergebnis: </w:t>
      </w:r>
      <w:r>
        <w:t>PRESTO-2 ist ein prospektives kontrolliertes vor-nach-Interventions-Studiendesign mit zwei Regionen in den Niederlanden; primärer Endpunkt ist die Zeit vom Symptombeginn bis zur Katheterintroduktion (onset-to-groin time); Sekundärendpunkte umfassen onset-to-needle time, funktionelle Ergebnisse (mRS 0–2), Über- und Unterdiagnosen sowie Ambulanz-Ressourcennutzung.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Gesundheitssystem, vergleichbare EMS-Strukturen und digitale Infrastruktur wie Deutschland.</w:t>
      </w:r>
    </w:p>
    <w:p>
      <w:r>
        <w:rPr>
          <w:color w:val="5A7D3A"/>
          <w:sz w:val="18"/>
        </w:rPr>
        <w:t>https://pubmed.ncbi.nlm.nih.gov/42703715/</w:t>
      </w:r>
    </w:p>
    <w:p>
      <w:pPr>
        <w:pStyle w:val="Heading2"/>
      </w:pPr>
      <w:r>
        <w:t>Machine Learning zur Charakterisierung von Patienten mit vaskulärisierten Komposit-Allotransplantaten</w:t>
      </w:r>
    </w:p>
    <w:p>
      <w:r>
        <w:rPr>
          <w:i/>
          <w:color w:val="666666"/>
          <w:sz w:val="18"/>
        </w:rPr>
        <w:t>Knoedler L et al.  ·  Front Immunol  ·  19.08.2026  ·  PMID 42688033</w:t>
      </w:r>
    </w:p>
    <w:p>
      <w:r>
        <w:t>Machine-Learning-Analyse von US-Transplantationsregisterdaten zur Identifikation von Populationsclustern, regionalen Mustern und Trends bei vaskulärisierten Komposit-Transplantaten (Gesicht, Gliedmaßen, Uterus).</w:t>
      </w:r>
    </w:p>
    <w:p>
      <w:r>
        <w:rPr>
          <w:b/>
        </w:rPr>
        <w:t xml:space="preserve">Ergebnis: </w:t>
      </w:r>
      <w:r>
        <w:t>Unter 107 Empfängern: Geschlecht und Transplantationstyp als primäre differenzierende Dimensionen; 42% wurden als Ausreißer klassifiziert, was erhebliche Populationsheterogenität unterstreicht; Gesichts-VCA-Untergruppe konzentrierte sich regional in US-Regionen 1 und 9 mit höherem Alter (42±11 Jahre) und längeren Wartezeiten (246±198 Tage).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nur methodologisch relevant; für deutsche Umsetzbarkeit Zugang zu nationalen Transplantationsregistern nötig.</w:t>
      </w:r>
    </w:p>
    <w:p>
      <w:r>
        <w:rPr>
          <w:color w:val="5A7D3A"/>
          <w:sz w:val="18"/>
        </w:rPr>
        <w:t>https://pubmed.ncbi.nlm.nih.gov/42688033/</w:t>
      </w:r>
    </w:p>
    <w:p>
      <w:pPr>
        <w:pStyle w:val="Heading2"/>
      </w:pPr>
      <w:r>
        <w:t>Klinische Prädiktoren für Atemhalt-Feasibility in der Brustkrebsbestrahlung</w:t>
      </w:r>
    </w:p>
    <w:p>
      <w:r>
        <w:rPr>
          <w:i/>
          <w:color w:val="666666"/>
          <w:sz w:val="18"/>
        </w:rPr>
        <w:t>Cepni B et al.  ·  Radiat Oncol  ·  01.09.2026  ·  PMID 42687171</w:t>
      </w:r>
    </w:p>
    <w:p>
      <w:r>
        <w:t>Retrospektive Analyse von 1.920 Brustkrebspatientinnen zur Identifizierung von Prädiktoren für Versagen des Deep Inspiration Breath-Hold (DIBH) und Konversion zu freier Beatmung.</w:t>
      </w:r>
    </w:p>
    <w:p>
      <w:r>
        <w:rPr>
          <w:b/>
        </w:rPr>
        <w:t xml:space="preserve">Ergebnis: </w:t>
      </w:r>
      <w:r>
        <w:t>DIBH-Replannng in 4% (78/1.920); signifikante Prädiktoren waren Alter &gt;63 Jahre (p=0,001), Lungenkomorbidität (p=0,008), erhöhter Charlson Comorbidity Index (p=0,044) und geometrischer Oberflächenabstand &lt;1 cm zwischen DIBH und Freiluft-CT (p=0,0001); BMI und Rauchen zeigten keine signifikante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 (Heidelberg), Versorgungsalltag in Radioonkologie, direkt übertragbar auf deutsches Setting.</w:t>
      </w:r>
    </w:p>
    <w:p>
      <w:r>
        <w:rPr>
          <w:color w:val="5A7D3A"/>
          <w:sz w:val="18"/>
        </w:rPr>
        <w:t>https://pubmed.ncbi.nlm.nih.gov/42687171/</w:t>
      </w:r>
    </w:p>
    <w:p>
      <w:pPr>
        <w:pStyle w:val="Heading2"/>
      </w:pPr>
      <w:r>
        <w:t>Nutzung von KI-Chatbots für psychische Gesundheit: Querschnittstudie in Belgien</w:t>
      </w:r>
    </w:p>
    <w:p>
      <w:r>
        <w:rPr>
          <w:i/>
          <w:color w:val="666666"/>
          <w:sz w:val="18"/>
        </w:rPr>
        <w:t>Bernaerts S et al.  ·  JMIR Ment Health  ·  01.09.2026  ·  PMID 42679350</w:t>
      </w:r>
    </w:p>
    <w:p>
      <w:r>
        <w:t>Surveybasierte Untersuchung der realen Nutzung von frei verfügbaren Large Language Models (hauptsächlich ChatGPT) zur Unterstützung bei psychischen Belastungen in zwei belgischen Populationen.</w:t>
      </w:r>
    </w:p>
    <w:p>
      <w:r>
        <w:rPr>
          <w:b/>
        </w:rPr>
        <w:t xml:space="preserve">Ergebnis: </w:t>
      </w:r>
      <w:r>
        <w:t>349 Teilnehmende (276 Allgemeinbevölkerung, 73 Studierende); überwiegend Frauen mit oder in psychischer Fachbehandlung; häufigste Gesprächsthemen waren persönliche und zwischenmenschliche Probleme; Gründe waren ständige Verfügbarkeit, Anonymität und wahrgenommene emotionale Unterstützung; digitale Arbeitsallianzen korrelierten mit Engagement-Faktoren.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Belgischer Kontext, europäisches Versicherungssystem, vergleichbare digitale Vertrauensfragen und Regulierungsrahmen.</w:t>
      </w:r>
    </w:p>
    <w:p>
      <w:r>
        <w:rPr>
          <w:color w:val="5A7D3A"/>
          <w:sz w:val="18"/>
        </w:rPr>
        <w:t>https://pubmed.ncbi.nlm.nih.gov/42679350/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