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03.10.2026  |  6 Studien  |  ki.m-vf.de</w:t>
      </w:r>
    </w:p>
    <w:p>
      <w:pPr>
        <w:pStyle w:val="Heading1"/>
      </w:pPr>
      <w:r>
        <w:t>Aufgenommen am 03.10.2026</w:t>
      </w:r>
    </w:p>
    <w:p>
      <w:pPr>
        <w:pStyle w:val="Heading2"/>
      </w:pPr>
      <w:r>
        <w:t>Vertrauen und menschliche Faktoren in KI-Entscheidungsunterstützung auf Intensivstationen</w:t>
      </w:r>
    </w:p>
    <w:p>
      <w:r>
        <w:rPr>
          <w:i/>
          <w:color w:val="666666"/>
          <w:sz w:val="18"/>
        </w:rPr>
        <w:t>Darla M et al.  ·  JMIR Hum Factors  ·  02.10.2026  ·  PMID 42826375</w:t>
      </w:r>
    </w:p>
    <w:p>
      <w:r>
        <w:t>Gemischte SEIPS-2.0-informierte Studie an Emory Healthcare evaluiert Wahrnehmungen von Klinikern (ICU/ED) zu KI-CDSS über Survey (n=57) und semi-strukturierte Interviews (n=11) mit A/B-Testing von KI-Szenarien.</w:t>
      </w:r>
    </w:p>
    <w:p>
      <w:r>
        <w:rPr>
          <w:b/>
        </w:rPr>
        <w:t xml:space="preserve">Ergebnis: </w:t>
      </w:r>
      <w:r>
        <w:t>Vertrauen variiert signifikant nach Patientenakuität (Cochran Q=30,40, p&lt;0,001): stabile Patienten 75 %, verschlechterte Patienten 47 %, kritisch Kranke/undifferenzierte ED-Patienten 44 %. Interne Konsistenz gut (Cronbach α: KI-Wahrnehmung 0,891, Vertrauen 0,743, Implementierung 0,740). Kliniker bevorzugten Opt-in-Alerts (10/11, 91 %), evidenzverlinkte Empfehlungen (7/11, 64 %), keine explizite KI-Erwähnung (8/11, 73 %). Barrieren: Überabhängigkeit, unzureichendes Training, Datenqualitätsbedenken. Thematische Analyse ergab 36 Themen in 6 Domänen. Gradueller Implementierungsansatz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Sicherheits- und Vertrauensbefunde sind universell übertragbar</w:t>
      </w:r>
    </w:p>
    <w:p>
      <w:r>
        <w:rPr>
          <w:color w:val="5A7D3A"/>
          <w:sz w:val="18"/>
        </w:rPr>
        <w:t>https://pubmed.ncbi.nlm.nih.gov/42826375/</w:t>
      </w:r>
    </w:p>
    <w:p>
      <w:pPr>
        <w:pStyle w:val="Heading2"/>
      </w:pPr>
      <w:r>
        <w:t>Wearable-Integration in digitale Therapie für Psychose: Co-Design und Machbarkeit</w:t>
      </w:r>
    </w:p>
    <w:p>
      <w:r>
        <w:rPr>
          <w:i/>
          <w:color w:val="666666"/>
          <w:sz w:val="18"/>
        </w:rPr>
        <w:t>Taylor KM et al.  ·  JMIR Hum Factors  ·  02.10.2026  ·  PMID 42826374</w:t>
      </w:r>
    </w:p>
    <w:p>
      <w:r>
        <w:t>Qualitative Co-Design und Machbarkeitsstudie mit 10 Experten mit Erfahrung (psychosekranke Personen) entwickelt und testet Wearable-augmentierte SloMo-App über 8 Wochen mit Fokus auf Usability, Akzeptanz und klinische Outcomes.</w:t>
      </w:r>
    </w:p>
    <w:p>
      <w:r>
        <w:rPr>
          <w:b/>
        </w:rPr>
        <w:t xml:space="preserve">Ergebnis: </w:t>
      </w:r>
      <w:r>
        <w:t>Spire Stone (Atemfrequenz und Stress-Physiologie) integriert. 8/10 (80 %) Nutzer berichteten, dass Wearable häufigere Nutzung der SloMo-Features und anderer Bewältigungsstrategien förderte. Höhere Gerätenutzung (n=3) assoziiert mit 25 % Paranoia-Reduktion (SD 6 %) und 84 % Zufriedenheit (SD 13 %); geringere Nutzung (n=7) mit 11 % Paranoia-Anstieg (SD 17 %) und 63 % Zufriedenheit (SD 20 %). Weitere Entwicklung notwendig für breiter akzeptable Lösung.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UK-NHS-Setting, Übertragbarkeit auf europäische Systeme gegeben</w:t>
      </w:r>
    </w:p>
    <w:p>
      <w:r>
        <w:rPr>
          <w:color w:val="5A7D3A"/>
          <w:sz w:val="18"/>
        </w:rPr>
        <w:t>https://pubmed.ncbi.nlm.nih.gov/42826374/</w:t>
      </w:r>
    </w:p>
    <w:p>
      <w:pPr>
        <w:pStyle w:val="Heading2"/>
      </w:pPr>
      <w:r>
        <w:t>Multimodale Large Language Models in der Parodontitis-Risikobewertung: Vergleich mit zahnärztlicher Expertise</w:t>
      </w:r>
    </w:p>
    <w:p>
      <w:r>
        <w:rPr>
          <w:i/>
          <w:color w:val="666666"/>
          <w:sz w:val="18"/>
        </w:rPr>
        <w:t>Swinckels L et al.  ·  J Med Internet Res  ·  02.10.2026  ·  PMID 42826249</w:t>
      </w:r>
    </w:p>
    <w:p>
      <w:r>
        <w:t>Studie vergleicht die Leistung von multimodalen LLMs (GPT-4o, Gemini 1.5 Pro, Claude 3.5 Sonnet) bei der Bewertung von Parodontitis-Risiko anhand von EHR-Daten und Panoramaaufnahmen gegen eine Referenzperiodontistin.</w:t>
      </w:r>
    </w:p>
    <w:p>
      <w:r>
        <w:rPr>
          <w:b/>
        </w:rPr>
        <w:t xml:space="preserve">Ergebnis: </w:t>
      </w:r>
      <w:r>
        <w:t>GPT o1 Pro und Claude Sonnet 4 erreichten 86,7 % bzw. 85,6 % akzeptable Ratings (vergleichbar mit Periodontistin 87,8 %), Gemini 2.5 Pro nur 59,4 % (p&lt;0,002). Alle Modelle zeigten Schwächen bei radiografischer Interpretation. Bearbeitungszeiten: Claude 10 Sekunden bis Periodontistin 5 Min 57 Sek. EHR-Daten allein lieferten substantielle Basis auch ohne korrekte Radiografie.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 Versicherungssysteme und Dokumentationspflichten</w:t>
      </w:r>
    </w:p>
    <w:p>
      <w:r>
        <w:rPr>
          <w:color w:val="5A7D3A"/>
          <w:sz w:val="18"/>
        </w:rPr>
        <w:t>https://pubmed.ncbi.nlm.nih.gov/42826249/</w:t>
      </w:r>
    </w:p>
    <w:p>
      <w:pPr>
        <w:pStyle w:val="Heading2"/>
      </w:pPr>
      <w:r>
        <w:t>KI-gestützte Dokumentation in dänischen Hausarztpraxen: Zeit- und Qualitätseffekte</w:t>
      </w:r>
    </w:p>
    <w:p>
      <w:r>
        <w:rPr>
          <w:i/>
          <w:color w:val="666666"/>
          <w:sz w:val="18"/>
        </w:rPr>
        <w:t>Olsen LN et al.  ·  JMIR Hum Factors  ·  02.10.2026  ·  PMID 42826248</w:t>
      </w:r>
    </w:p>
    <w:p>
      <w:r>
        <w:t>Pragmatische Pre-Post-Studie in 20 Hausarztpraxen zur Akzeptanz und Effektivität eines KI-Dokumentationssystems auf Dokumentationszeit und klinische Notizqualität.</w:t>
      </w:r>
    </w:p>
    <w:p>
      <w:r>
        <w:rPr>
          <w:b/>
        </w:rPr>
        <w:t xml:space="preserve">Ergebnis: </w:t>
      </w:r>
      <w:r>
        <w:t>Selbstbewertete Dokumentationsstruktur stieg von 3,99 auf 4,45, Dokumentationszeit sank von 2,85 auf 2,29 Kategorien. Technologieakzeptanz hoch (TAM 3,76–4,19; SUS 77,5). Externe blinde Bewertung zeigte höhere Scores post-Implementierung bei Qualität und Struktur, aber niedrige Übereinstimmung zwischen Bewertern. Assoziation zwischen Dokumentationszeit und wahrgenommener Qualität vernachlässigbar.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höherer Digitalisierungsgrad; Befunde zeigen Möglichkeiten</w:t>
      </w:r>
    </w:p>
    <w:p>
      <w:r>
        <w:rPr>
          <w:color w:val="5A7D3A"/>
          <w:sz w:val="18"/>
        </w:rPr>
        <w:t>https://pubmed.ncbi.nlm.nih.gov/42826248/</w:t>
      </w:r>
    </w:p>
    <w:p>
      <w:pPr>
        <w:pStyle w:val="Heading2"/>
      </w:pPr>
      <w:r>
        <w:t>Telerehabilitation für postpartale Beckenbodendysfunktion: Patientenperspektive</w:t>
      </w:r>
    </w:p>
    <w:p>
      <w:r>
        <w:rPr>
          <w:i/>
          <w:color w:val="666666"/>
          <w:sz w:val="18"/>
        </w:rPr>
        <w:t>Jönsson H et al.  ·  BMC Musculoskelet Disord  ·  11.09.2026  ·  PMID 42823687</w:t>
      </w:r>
    </w:p>
    <w:p>
      <w:r>
        <w:t>Qualitative Studie mit 14 schwedischen Frauen nach Telerehabilitation des Beckenbodens untersucht Erfahrungen, Akzeptanz und Wahrnehmungen von digitaler Physiotherapie.</w:t>
      </w:r>
    </w:p>
    <w:p>
      <w:r>
        <w:rPr>
          <w:b/>
        </w:rPr>
        <w:t xml:space="preserve">Ergebnis: </w:t>
      </w:r>
      <w:r>
        <w:t>Telerehabilitation als "komplementäres Puzzleteil" wahrgenommen mit drei Kategorien: (1) Digitales Format ermöglicht Chancengleichheit (verbesserte Zugänglichkeit, Flexibilität, aktive Partizipation); (2) Digitale Teilnahme erfordert fortgeschrittene Kommunikation (Vermittlung von Fähigkeiten, Körperbewusstsein, zuverlässige Technologie); (3) Zweifel am digitalen Format (fehlende körperliche Untersuchung, Hands-on-Anleitung, zwischenmenschliche Interaktion). Hybrid-Modell könnte Person-zentrierte Versorgung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öffentliches Versicherungssystem, aber höherer Digitalisierungsgrad</w:t>
      </w:r>
    </w:p>
    <w:p>
      <w:r>
        <w:rPr>
          <w:color w:val="5A7D3A"/>
          <w:sz w:val="18"/>
        </w:rPr>
        <w:t>https://pubmed.ncbi.nlm.nih.gov/42823687/</w:t>
      </w:r>
    </w:p>
    <w:p>
      <w:pPr>
        <w:pStyle w:val="Heading2"/>
      </w:pPr>
      <w:r>
        <w:t>Clinical Decision Support Tool für potenziell sedierende Medikamente in der Palliativmedizin</w:t>
      </w:r>
    </w:p>
    <w:p>
      <w:r>
        <w:rPr>
          <w:i/>
          <w:color w:val="666666"/>
          <w:sz w:val="18"/>
        </w:rPr>
        <w:t>Krauss SH et al.  ·  BMC Palliat Care  ·  01.10.2026  ·  PMID 42823679</w:t>
      </w:r>
    </w:p>
    <w:p>
      <w:r>
        <w:t>Gemischte Pilotstudie an vier Zentren (zwei stationär, zwei Palliativteams) testet Machbarkeit, Angemessenheit und Akzeptabilität einer Evidence- und Expertenkonsens-basierten Warnliste für sedierende Substanzen.</w:t>
      </w:r>
    </w:p>
    <w:p>
      <w:r>
        <w:rPr>
          <w:b/>
        </w:rPr>
        <w:t xml:space="preserve">Ergebnis: </w:t>
      </w:r>
      <w:r>
        <w:t>Retrospektive Kohortenstudie (n=1.189): Warnliste wurde bei Patienten mit unerwünschter Sedation am häufigsten genutzt. Online-Survey (13/33 Befragte nutzten Liste, 8 wollen Nutzung fortsetzen). Fokusgruppen (n=22 Fachleute): Ziel gut verstanden, Nutzen primär in Bildung und Information; 21 % der Berichte enthielten Influential Outlier. Risikonachricht: Warnliste könnte als Sedierungsdosis-Empfehlung fehlinterpretiert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Österreich, Pilotstandorte in deutschsprachigem Raum</w:t>
      </w:r>
    </w:p>
    <w:p>
      <w:r>
        <w:rPr>
          <w:color w:val="5A7D3A"/>
          <w:sz w:val="18"/>
        </w:rPr>
        <w:t>https://pubmed.ncbi.nlm.nih.gov/42823679/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2026-10-03T06:00:00Z</dcterms:created>
  <dcterms:modified xsi:type="dcterms:W3CDTF">2026-10-03T06:00:00Z</dcterms:modified>
  <cp:category/>
</cp:coreProperties>
</file>