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Digitalisierung, KI und Gesundheit</w:t>
      </w:r>
    </w:p>
    <w:p>
      <w:r>
        <w:rPr>
          <w:i/>
          <w:color w:val="666666"/>
          <w:sz w:val="18"/>
        </w:rPr>
        <w:t>Stand: 29.08.2026  |  7 Studien  |  ki.m-vf.de</w:t>
      </w:r>
    </w:p>
    <w:p>
      <w:pPr>
        <w:pStyle w:val="Heading1"/>
      </w:pPr>
      <w:r>
        <w:t>Aufgenommen am 29.08.2026</w:t>
      </w:r>
    </w:p>
    <w:p>
      <w:pPr>
        <w:pStyle w:val="Heading2"/>
      </w:pPr>
      <w:r>
        <w:t>Speech-basierte Rückfallvorhersage bei Psychose mittels erklärbarer KI: TRUSTING-Protokoll</w:t>
      </w:r>
    </w:p>
    <w:p>
      <w:r>
        <w:rPr>
          <w:i/>
          <w:color w:val="666666"/>
          <w:sz w:val="18"/>
        </w:rPr>
        <w:t>Hüppi RM et al.  ·  BMJ Open  ·  28.08.2026  ·  PMID 42665342</w:t>
      </w:r>
    </w:p>
    <w:p>
      <w:r>
        <w:t>Studienprotokoll für prospektive multinationale Beobachtungsstudie zur Evaluation sprach-basierter KI-gestützter Früherkennung psychotischer Rückfälle über 6 Monate bei 240 Patienten und 120 Kontrollen an 6 europäischen Standorten.</w:t>
      </w:r>
    </w:p>
    <w:p>
      <w:r>
        <w:rPr>
          <w:b/>
        </w:rPr>
        <w:t xml:space="preserve">Ergebnis: </w:t>
      </w:r>
      <w:r>
        <w:t>Primäre Endpunkte umfassen Modell-Performance (AUC für Rückfallvorhersage), Nutzer-Adhärenz, Transkriptionsqualität und System-Usability. Study läuft noch; es wird berichtet, welche Adhärenz- und Usability-Proportionen (95% Wilson-CI) sowie AUC für Rückfallvorhersage erwartet werden. Protokoll prospektiv registriert (NCT07397975).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Multizentrisch europäisch (Schweiz, Niederlande, Deutschland, Tschechien, Türkei), prospektives Design, vergleichbare Versorgungssysteme</w:t>
      </w:r>
    </w:p>
    <w:p>
      <w:r>
        <w:rPr>
          <w:color w:val="5A7D3A"/>
          <w:sz w:val="18"/>
        </w:rPr>
        <w:t>https://pubmed.ncbi.nlm.nih.gov/42665342/</w:t>
      </w:r>
    </w:p>
    <w:p>
      <w:pPr>
        <w:pStyle w:val="Heading2"/>
      </w:pPr>
      <w:r>
        <w:t>Reduktion von Reibung in pädiatrischen EHR-Systemen durch Präpopulation von Ordnungsoptionen</w:t>
      </w:r>
    </w:p>
    <w:p>
      <w:r>
        <w:rPr>
          <w:i/>
          <w:color w:val="666666"/>
          <w:sz w:val="18"/>
        </w:rPr>
        <w:t>Bennett B et al.  ·  Appl Clin Inform  ·  28.08.2026  ·  PMID 42665259</w:t>
      </w:r>
    </w:p>
    <w:p>
      <w:r>
        <w:t>Quasi-experimentelle Pre-Post-Analyse zur Reduktion der Bestellreibung (Order Friction) in pädiatrischen Medikamentenordnungen durch Präpopulation von Dossierungen und klinischen Indikationen in Epic EHR.</w:t>
      </w:r>
    </w:p>
    <w:p>
      <w:r>
        <w:rPr>
          <w:b/>
        </w:rPr>
        <w:t xml:space="preserve">Ergebnis: </w:t>
      </w:r>
      <w:r>
        <w:t>Mittlere Änderungen pro Ordnung (CPO) sanken bei 22 gepaarten Ordnungstypen von 3,20 (IQR 2,41–3,68) auf 0,39 (IQR 0,18–1,04; p&lt;0,001). Bei Systemebene: volumenwichteter CPO sank von 3,06 auf 2,72, während Adoptionsrate der optimierten Liste von 9,6% auf 15,8% stieg. Mediane Reduktion: 87,8% der Order-Manipulationen.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USA-Studie (Epic Systems), methodisch aber auf jede EHR-Umgebung übertragbar</w:t>
      </w:r>
    </w:p>
    <w:p>
      <w:r>
        <w:rPr>
          <w:color w:val="5A7D3A"/>
          <w:sz w:val="18"/>
        </w:rPr>
        <w:t>https://pubmed.ncbi.nlm.nih.gov/42665259/</w:t>
      </w:r>
    </w:p>
    <w:p>
      <w:pPr>
        <w:pStyle w:val="Heading2"/>
      </w:pPr>
      <w:r>
        <w:t>Grenzen von Sicherheitsklassifikationssystemen für Zwischenfälle in der Gesundheits-IT</w:t>
      </w:r>
    </w:p>
    <w:p>
      <w:r>
        <w:rPr>
          <w:i/>
          <w:color w:val="666666"/>
          <w:sz w:val="18"/>
        </w:rPr>
        <w:t>Jabin MSR  ·  JMIR Hum Factors  ·  28.08.2026  ·  PMID 42664497</w:t>
      </w:r>
    </w:p>
    <w:p>
      <w:r>
        <w:t>Conceptual Analysis zu Herausforderungen beim Klassifizieren von Health IT-bezogenen Patientensicherheits-Zwischenfällen und deren Begrenzungen als Wissenskonstrukt.</w:t>
      </w:r>
    </w:p>
    <w:p>
      <w:r>
        <w:rPr>
          <w:b/>
        </w:rPr>
        <w:t xml:space="preserve">Ergebnis: </w:t>
      </w:r>
      <w:r>
        <w:t>Vier rekurrente Repräsentationsprobleme identifiziert: Fragmentierung soziotechnischer Interaktionen, Verlust von Temporalität und Prozessevolution, unzureichende Darstellung von Skalierung und systemübergreifender Ausbreitung, Normalisierung von ‚Anwenderfehler'. Argument: Klassifikationen sind unverzichtbar für Surveillance und Governance, aber ihre Limits müssen anerkannt werden; komplementäre sociotechnical approaches nötig.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Schweden/UK autorin, konzeptioneller Beitrag zu HIT-Sicherheit, systemisch übertragbar</w:t>
      </w:r>
    </w:p>
    <w:p>
      <w:r>
        <w:rPr>
          <w:color w:val="5A7D3A"/>
          <w:sz w:val="18"/>
        </w:rPr>
        <w:t>https://pubmed.ncbi.nlm.nih.gov/42664497/</w:t>
      </w:r>
    </w:p>
    <w:p>
      <w:pPr>
        <w:pStyle w:val="Heading2"/>
      </w:pPr>
      <w:r>
        <w:t>Machine Learning zur Identifikation von Internet-Addiction und kognitiver Emotionsregulation bei älteren Erwachsenen</w:t>
      </w:r>
    </w:p>
    <w:p>
      <w:r>
        <w:rPr>
          <w:i/>
          <w:color w:val="666666"/>
          <w:sz w:val="18"/>
        </w:rPr>
        <w:t>Gui J et al.  ·  Front Public Health  ·  13.08.2026  ·  PMID 42661909</w:t>
      </w:r>
    </w:p>
    <w:p>
      <w:r>
        <w:t>Cross-sectionale Studie mit Machine-Learning-Klassifikatoren zur Vorhersage von co-auftretender Internet-Addiction und maladaptiver kognitiver Emotionsregulation bei 1.471 Erwachsenen ≥60 Jahren in China mittels demografischen, sozialen und psychosozialen Prädiktoren.</w:t>
      </w:r>
    </w:p>
    <w:p>
      <w:r>
        <w:rPr>
          <w:b/>
        </w:rPr>
        <w:t xml:space="preserve">Ergebnis: </w:t>
      </w:r>
      <w:r>
        <w:t>Gradient Boosting Machine zeigte beste Performance mit AUROC 0,904, Genauigkeit 0,816, Sensitivität 0,810, Spezifität 0,818. SHAP-Analyse identifizierte allgemeines Wohlbefinden als dominantester Prädiktor, gefolgt von Bildungsgrad und objektivem Support. 8 Prädiktoren beibehalten; Modell unterscheidet aktuellen co-occurrence-Status, keine Prognose.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Originaldata, querschnittlich, aber Prädiktoren sind strukturübergreifend</w:t>
      </w:r>
    </w:p>
    <w:p>
      <w:r>
        <w:rPr>
          <w:color w:val="5A7D3A"/>
          <w:sz w:val="18"/>
        </w:rPr>
        <w:t>https://pubmed.ncbi.nlm.nih.gov/42661909/</w:t>
      </w:r>
    </w:p>
    <w:p>
      <w:pPr>
        <w:pStyle w:val="Heading2"/>
      </w:pPr>
      <w:r>
        <w:t>Real-World-Digital-Health-Technologien zur Erfassung und Vorhersage von Toxizität bei hämatologischen Malignomen</w:t>
      </w:r>
    </w:p>
    <w:p>
      <w:r>
        <w:rPr>
          <w:i/>
          <w:color w:val="666666"/>
          <w:sz w:val="18"/>
        </w:rPr>
        <w:t>El-Galaly TC et al.  ·  Lancet Haematol  ·  Sept. 2026  ·  PMID 42660134</w:t>
      </w:r>
    </w:p>
    <w:p>
      <w:r>
        <w:t>Narrative Review zu digitalen Gesundheitstechnologien (ePRO, Wearables, KI, Digital Twins, synthetische Daten) für Echtzeit-Erfassung und Vorhersage von Behandlungstoxizität bei hämatologischen Krebspatienten in der Versorgungspraxis.</w:t>
      </w:r>
    </w:p>
    <w:p>
      <w:r>
        <w:rPr>
          <w:b/>
        </w:rPr>
        <w:t xml:space="preserve">Ergebnis: </w:t>
      </w:r>
      <w:r>
        <w:t>DHTs können kontinuierliche, patientengenerierte Daten erfassen, die aktuelle post-marketing toxicity assessments nicht zuverlässig erfassen. KI und synthetische Daten ermöglichen Toxizitätsvorhersage in größerem Maßstab. Herausforderungen: Datenqualität, Interpretierbarkeit, Workflow-Integration, Datenschutz, Governance. Koentwicklung mit Patienten, Klinikern, Bezahlern und Regulatoren notwendig.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Multi-autorengruppe Europa und Kanada, Position Paper, aber kein eigenes Ergebnis im Sinne einer Versorgungsevaluation</w:t>
      </w:r>
    </w:p>
    <w:p>
      <w:r>
        <w:rPr>
          <w:color w:val="5A7D3A"/>
          <w:sz w:val="18"/>
        </w:rPr>
        <w:t>https://pubmed.ncbi.nlm.nih.gov/42660134/</w:t>
      </w:r>
    </w:p>
    <w:p>
      <w:pPr>
        <w:pStyle w:val="Heading2"/>
      </w:pPr>
      <w:r>
        <w:t>KI-gestützte Kosteneinsparungen in UK- und australischen Gesundheitssystemen: Bayesische Analyse</w:t>
      </w:r>
    </w:p>
    <w:p>
      <w:r>
        <w:rPr>
          <w:i/>
          <w:color w:val="666666"/>
          <w:sz w:val="18"/>
        </w:rPr>
        <w:t>Sarkar J et al.  ·  JMIR Med Inform  ·  26.08.2026  ·  PMID 42647854</w:t>
      </w:r>
    </w:p>
    <w:p>
      <w:r>
        <w:t>Bayesische Budget-Impact-Analyse zur Schätzung von KI-bedingten Kosteneinsparungen in Radiologie, Workflow-Optimierung und Workforce-Optimierung unter Berücksichtigung von Einführungsrisiken und Effektivitätsungewissheit.</w:t>
      </w:r>
    </w:p>
    <w:p>
      <w:r>
        <w:rPr>
          <w:b/>
        </w:rPr>
        <w:t xml:space="preserve">Ergebnis: </w:t>
      </w:r>
      <w:r>
        <w:t>Geschätzte jährliche Bruttoeinsparungen: 949 Mio. US$ (UK, 95%-KI 720,6–1173,5) und 737 Mio. US$ (Australien, 95%-KI 526,1–953,6). Workforce-Optimierung lieferte größten Anteil (UK 62,4%, Australien 76,2%). Implementierungsrisiko 35,5–47,4% (unter vorherigen Annahmen). Baseline-Projektionen 2024–2030: 10,1 Mrd. US$ (UK), 8,0 Mrd. US$ (Australien).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und Australien, vergleichbare Gesundheitssystemstrukturen, aber Einsparungen primär als Kapazitätsgewinne, nicht Cashflows</w:t>
      </w:r>
    </w:p>
    <w:p>
      <w:r>
        <w:rPr>
          <w:color w:val="5A7D3A"/>
          <w:sz w:val="18"/>
        </w:rPr>
        <w:t>https://pubmed.ncbi.nlm.nih.gov/42647854/</w:t>
      </w:r>
    </w:p>
    <w:p>
      <w:pPr>
        <w:pStyle w:val="Heading2"/>
      </w:pPr>
      <w:r>
        <w:t>KI-gestützte Lymphozytenquantifizierung bei Triple-negativem Brustkrebs: externe Validierungsstudie</w:t>
      </w:r>
    </w:p>
    <w:p>
      <w:r>
        <w:rPr>
          <w:i/>
          <w:color w:val="666666"/>
          <w:sz w:val="18"/>
        </w:rPr>
        <w:t>Dixon-Douglas JR et al.  ·  Lancet Oncol  ·  Sept. 2026  ·  PMID 42636839</w:t>
      </w:r>
    </w:p>
    <w:p>
      <w:r>
        <w:t>Externe Validierung zweier KI-Pipelines zur automatisierten Quantifizierung tumorinfiltierender Lymphozyten in Tumorproben von 1.356 Patienten mit Brustkrebsindizes an prospektiven Studiendaten.</w:t>
      </w:r>
    </w:p>
    <w:p>
      <w:r>
        <w:rPr>
          <w:b/>
        </w:rPr>
        <w:t xml:space="preserve">Ergebnis: </w:t>
      </w:r>
      <w:r>
        <w:t>cTIL-Scores waren unabhängig mit Invasive-Disease-Free-Survival (HR 0,80, p&lt;0,0001), Distant-Disease-Free-Survival (HR 0,77, p&lt;0,0001) und Overall-Survival (HR 0,79, p=0,0002) assoziiert. cTIL verbesserte 5-Jahres-AUC gegenüber klinicopathologischen Variablen allein, trug aber nicht inkrementell zu Modellen mit Patholog-Scores hinzu. KI zeigt Reproduzierbarkeit als Biomarker, besonders wo Patholog-Assessment fehlt.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Studie (Niederlande, Belgien, Frankreich, Skandinavien), klinische Validation mit langfristigen Outcomes</w:t>
      </w:r>
    </w:p>
    <w:p>
      <w:r>
        <w:rPr>
          <w:color w:val="5A7D3A"/>
          <w:sz w:val="18"/>
        </w:rPr>
        <w:t>https://pubmed.ncbi.nlm.nih.gov/42636839/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Digitalisierung, KI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2026-08-29T06:00:00Z</dcterms:created>
  <dcterms:modified xsi:type="dcterms:W3CDTF">2026-08-29T06:00:00Z</dcterms:modified>
  <cp:category/>
</cp:coreProperties>
</file>