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Digitalisierung, KI und Gesundheit</w:t>
      </w:r>
    </w:p>
    <w:p>
      <w:r>
        <w:rPr>
          <w:i/>
          <w:color w:val="666666"/>
          <w:sz w:val="18"/>
        </w:rPr>
        <w:t>Stand: 28.09.2026  |  6 Studien  |  ki.m-vf.de</w:t>
      </w:r>
    </w:p>
    <w:p>
      <w:pPr>
        <w:pStyle w:val="Heading1"/>
      </w:pPr>
      <w:r>
        <w:t>Aufgenommen am 28.09.2026</w:t>
      </w:r>
    </w:p>
    <w:p>
      <w:pPr>
        <w:pStyle w:val="Heading2"/>
      </w:pPr>
      <w:r>
        <w:t>Barrieren und Förderfaktoren für Nutzung von Mental-Health-Apps bei jungen Frauen</w:t>
      </w:r>
    </w:p>
    <w:p>
      <w:r>
        <w:rPr>
          <w:i/>
          <w:color w:val="666666"/>
          <w:sz w:val="18"/>
        </w:rPr>
        <w:t>Schröder J et al.  ·  BMC Womens Health  ·  26.09.2026  ·  PMID 42800862</w:t>
      </w:r>
    </w:p>
    <w:p>
      <w:r>
        <w:t>Querschnittstudie unter 521 Frauen (18–35 Jahre) zur Erfassung psychischer Belastung, Hilfsuchverhalten und Barrieren für digitale Anwendungen.</w:t>
      </w:r>
    </w:p>
    <w:p>
      <w:r>
        <w:rPr>
          <w:b/>
        </w:rPr>
        <w:t xml:space="preserve">Ergebnis: </w:t>
      </w:r>
      <w:r>
        <w:t>79% berichten Erschöpfung, 79% Sorgen; 31% haben bereits Mental-Health-Apps genutzt. Häufigste Barrieren: Wissenslücken (32,5%), Zweifeln an Wirksamkeit (9,8%), Kosten (9,6%). Psychische Belastung, Angst und Appetitprobleme positiv mit App-Nutzung assoziiert (OR 1,03–1,99); Nutzer fordern Professionalität, Benutzerfreundlichkeit, Datensicherheit.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Hamburg (Deutschland); direkt auf deutsches Versicherungssystem und Frauengesundheit übertragbar</w:t>
      </w:r>
    </w:p>
    <w:p>
      <w:r>
        <w:rPr>
          <w:color w:val="5A7D3A"/>
          <w:sz w:val="18"/>
        </w:rPr>
        <w:t>https://pubmed.ncbi.nlm.nih.gov/42800862/</w:t>
      </w:r>
    </w:p>
    <w:p>
      <w:pPr>
        <w:pStyle w:val="Heading2"/>
      </w:pPr>
      <w:r>
        <w:t>ML-gestützte adaptive Ecological Momentary Interventions für psychische Gesundheit in der Jugend</w:t>
      </w:r>
    </w:p>
    <w:p>
      <w:r>
        <w:rPr>
          <w:i/>
          <w:color w:val="666666"/>
          <w:sz w:val="18"/>
        </w:rPr>
        <w:t>Rauschenberg C et al.  ·  Transl Psychiatry  ·  26.09.2026  ·  PMID 42800797</w:t>
      </w:r>
    </w:p>
    <w:p>
      <w:r>
        <w:t>Micro-randomisierte Studie zur Frage, ob Machine Learning bei der Auswahl von Interventionskomponenten für psychisch belastete Jugendliche bessere Ergebnisse erziellt als zufällige Zuweisung.</w:t>
      </w:r>
    </w:p>
    <w:p>
      <w:r>
        <w:rPr>
          <w:b/>
        </w:rPr>
        <w:t xml:space="preserve">Ergebnis: </w:t>
      </w:r>
      <w:r>
        <w:t>ML-basierte Zuweisung zeigte einen signifikanten Vorteil für momentane Resilienz (B=0,147, p=0,044), aber keinen Effekt auf positive oder negative Affekte. Machbarkeit bestätigt mit guter Akzeptanz (n=49, 78% weiblich); kleine pre-post-Reduktionen psychischer Belastung (d=-0,23), Verbesserungen bei Resilienz (d=0,55) und adaptiver Emotionsregulation (d=0,53).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Klinikdaten; vergleichbares Alter und Distress-Niveau wie hiesige Population</w:t>
      </w:r>
    </w:p>
    <w:p>
      <w:r>
        <w:rPr>
          <w:color w:val="5A7D3A"/>
          <w:sz w:val="18"/>
        </w:rPr>
        <w:t>https://pubmed.ncbi.nlm.nih.gov/42800797/</w:t>
      </w:r>
    </w:p>
    <w:p>
      <w:pPr>
        <w:pStyle w:val="Heading2"/>
      </w:pPr>
      <w:r>
        <w:t>Ecological Momentary Assessment in der Essgestörungsbehandlung: Machbarkeitsstudie</w:t>
      </w:r>
    </w:p>
    <w:p>
      <w:r>
        <w:rPr>
          <w:i/>
          <w:color w:val="666666"/>
          <w:sz w:val="18"/>
        </w:rPr>
        <w:t>Jansen PW et al.  ·  Nutrients  ·  17.09.2026  ·  PMID 42797029</w:t>
      </w:r>
    </w:p>
    <w:p>
      <w:r>
        <w:t>Qualitative Studie zur Nutzerfreundlichkeit und therapeutischen Wirksamkeit einer Smartphone-App für tägliches Selbstmonitoring von Stimmung und Essanfällen bei 20 Patienten mit Binge-Eating-Störung in niederländischer Klinik.</w:t>
      </w:r>
    </w:p>
    <w:p>
      <w:r>
        <w:rPr>
          <w:b/>
        </w:rPr>
        <w:t xml:space="preserve">Ergebnis: </w:t>
      </w:r>
      <w:r>
        <w:t>App als benutzerfreundlich, aber belastend bewertet (Antwortrate nur 31%, nur 9 Teilnehmer &gt;30%); gemischte Rückmeldungen – einige berichteten verbesserte Emotionseinsicht, andere empfanden Registrierungen konfrontativ und beschämend; Therapeuten sahen teilweise verbesserte Reflexion.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Niederlande; ähnliche Versorgungsstruktur; Befunde für deutschsprachigen Einsatz übertragbar</w:t>
      </w:r>
    </w:p>
    <w:p>
      <w:r>
        <w:rPr>
          <w:color w:val="5A7D3A"/>
          <w:sz w:val="18"/>
        </w:rPr>
        <w:t>https://pubmed.ncbi.nlm.nih.gov/42797029/</w:t>
      </w:r>
    </w:p>
    <w:p>
      <w:pPr>
        <w:pStyle w:val="Heading2"/>
      </w:pPr>
      <w:r>
        <w:t>Domänenspezifisches Annotations-Framework für deutsche Halsmundkrebsberichte</w:t>
      </w:r>
    </w:p>
    <w:p>
      <w:r>
        <w:rPr>
          <w:i/>
          <w:color w:val="666666"/>
          <w:sz w:val="18"/>
        </w:rPr>
        <w:t>Gubik S et al.  ·  BMC Res Notes  ·  21.09.2026  ·  PMID 42768362</w:t>
      </w:r>
    </w:p>
    <w:p>
      <w:r>
        <w:t>Entwicklung eines strukturierten Annotations-Schemas und eines annotierten Referenzkorpus für NLP-Modelle zur Extraktion strukturierter Informationen aus deutschen Pathologieberichten zu Kopf-Hals-Plattenepithelkarzinomen (631 Berichte, 145 Patienten).</w:t>
      </w:r>
    </w:p>
    <w:p>
      <w:r>
        <w:rPr>
          <w:b/>
        </w:rPr>
        <w:t xml:space="preserve">Ergebnis: </w:t>
      </w:r>
      <w:r>
        <w:t>Hierarchisches, span-basiertes Schema mit 45 eindeutigen Labels in klinisch sinnvollen Blöcken; 37–39 Annotationen pro Bericht durchschnittlich; breite Vergleichbarkeit Label-Verteilung zwischen Training-, Validierungs- und Evaluierungsset; Domain-spezifische Referenzressource für Entwicklung von Information-Extraction-Methoden etabliert.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(Würzburg); deutschsprachiger Gesundheitsdatensatz; direkt auf deutsche Pathologie-Digitalisierung übertragbar</w:t>
      </w:r>
    </w:p>
    <w:p>
      <w:r>
        <w:rPr>
          <w:color w:val="5A7D3A"/>
          <w:sz w:val="18"/>
        </w:rPr>
        <w:t>https://pubmed.ncbi.nlm.nih.gov/42768362/</w:t>
      </w:r>
    </w:p>
    <w:p>
      <w:pPr>
        <w:pStyle w:val="Heading2"/>
      </w:pPr>
      <w:r>
        <w:t>European Health Data Space: Governance und Sekundärnutzung sensibler Gesundheitsdaten</w:t>
      </w:r>
    </w:p>
    <w:p>
      <w:r>
        <w:rPr>
          <w:i/>
          <w:color w:val="666666"/>
          <w:sz w:val="18"/>
        </w:rPr>
        <w:t>Sriram S et al.  ·  Stud Health Technol Inform  ·  17.09.2026  ·  PMID 42752491</w:t>
      </w:r>
    </w:p>
    <w:p>
      <w:r>
        <w:t>Analyse des geplanten European Health Data Space (EHDS) zur Sekundärnutzung von Gesundheitsdaten über Mitgliedstaaten hinweg; Fallstudie zu Krebs-Genomik und Vergleich mit Finlands Findata-Modell.</w:t>
      </w:r>
    </w:p>
    <w:p>
      <w:r>
        <w:rPr>
          <w:b/>
        </w:rPr>
        <w:t xml:space="preserve">Ergebnis: </w:t>
      </w:r>
      <w:r>
        <w:t>EHDS kann Datenerkennung und Access-Routing vereinfachen, eliminiert aber nicht automatisch rechtliche Zersplitterung, heterogene Ethik-Review und Consenthürden. Für genetische/genomische Daten besondere Herausforderungen bei Interoperabilität, Privacy-Schutz und Re-Identifikationsrisiko; Harmonisierung über Infrastruktur hinaus erforderlich.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EU; betrifft Deutschland durch KI-Verordnung und Gesundheitsdatenraum direkt</w:t>
      </w:r>
    </w:p>
    <w:p>
      <w:r>
        <w:rPr>
          <w:color w:val="5A7D3A"/>
          <w:sz w:val="18"/>
        </w:rPr>
        <w:t>https://pubmed.ncbi.nlm.nih.gov/42752491/</w:t>
      </w:r>
    </w:p>
    <w:p>
      <w:pPr>
        <w:pStyle w:val="Heading2"/>
      </w:pPr>
      <w:r>
        <w:t>Strukturierter Preprocessing-Rahmen für routineklinische Daten zu Forschungskohorten</w:t>
      </w:r>
    </w:p>
    <w:p>
      <w:r>
        <w:rPr>
          <w:i/>
          <w:color w:val="666666"/>
          <w:sz w:val="18"/>
        </w:rPr>
        <w:t>Katzensteiner M et al.  ·  Stud Health Technol Inform  ·  17.09.2026  ·  PMID 42752462</w:t>
      </w:r>
    </w:p>
    <w:p>
      <w:r>
        <w:t>Methodik zur Umwandlung heterogener, irregulär erfasster Routinedaten in analysebereite Datensätze; Entwicklung am Beispiel Nierentransplantation-Abstoßungsdiagnostik.</w:t>
      </w:r>
    </w:p>
    <w:p>
      <w:r>
        <w:rPr>
          <w:b/>
        </w:rPr>
        <w:t xml:space="preserve">Ergebnis: </w:t>
      </w:r>
      <w:r>
        <w:t>Dreiteiliger Rahmen (recursive event classification, context-sensitive event annotation, context-based time series harmonisation) transformiert unregelmäßige Messungen in standardisierte zeitliche Repräsentationen; Ergebnis: strukturierte, vergleichbare Datensätze ähnlich Studiendaten, die statistische Modellierung und Machine Learning ermöglichen.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(Hanover); Routine-Klinikinformatik; auf deutsche EHR-Landschaft direkt übertragbar</w:t>
      </w:r>
    </w:p>
    <w:p>
      <w:r>
        <w:rPr>
          <w:color w:val="5A7D3A"/>
          <w:sz w:val="18"/>
        </w:rPr>
        <w:t>https://pubmed.ncbi.nlm.nih.gov/42752462/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Digitalisierung, KI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2026-09-28T06:00:00Z</dcterms:created>
  <dcterms:modified xsi:type="dcterms:W3CDTF">2026-09-28T06:00:00Z</dcterms:modified>
  <cp:category/>
</cp:coreProperties>
</file>