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07.09.2026  |  6 Studien  |  ki.m-vf.de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Teleexpertise in Dermatologie: Trainingseffekt auf Request-Qualität und TE-Effizienz</w:t>
      </w:r>
    </w:p>
    <w:p>
      <w:r>
        <w:rPr>
          <w:i/>
          <w:color w:val="666666"/>
          <w:sz w:val="18"/>
        </w:rPr>
        <w:t>Corrente C et al.  ·  Eur J Dermatol  ·  01.08.2026  ·  PMID 42702023</w:t>
      </w:r>
    </w:p>
    <w:p>
      <w:r>
        <w:t>Retrospektive Analyse von 3.266 Teleexpertise-Anfragen (2022–2024) zur Wirksamkeit von fortlaufender Ärzte-Schulung in Dermatologie und Dermoskopie auf Anfragequualität und Specialist-Response-Effizienz.</w:t>
      </w:r>
    </w:p>
    <w:p>
      <w:r>
        <w:rPr>
          <w:b/>
        </w:rPr>
        <w:t xml:space="preserve">Ergebnis: </w:t>
      </w:r>
      <w:r>
        <w:t>Geschulte Hausärzte stellten qualitativ bessere Anfragen; TE vermied 51 % der Vor-Ort-Konsultationen bei 92,4 % diagnostischer Konkordanz; Antwortzeit median 13 Stunden; nur 4 % der Anfragen abgelehnt. Training verbesserte Response-Effizienz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– integriertes europäisches Versorgungsnetzwerk, vergleichbare Sekundarversorgung</w:t>
      </w:r>
    </w:p>
    <w:p>
      <w:r>
        <w:rPr>
          <w:color w:val="5A7D3A"/>
          <w:sz w:val="18"/>
        </w:rPr>
        <w:t>https://pubmed.ncbi.nlm.nih.gov/42702023/</w:t>
      </w:r>
    </w:p>
    <w:p>
      <w:pPr>
        <w:pStyle w:val="Heading2"/>
      </w:pPr>
      <w:r>
        <w:t>KI-gestützte Knochendichtemessung aus Routine-Röntgenbildern: Psoriasis-Screening</w:t>
      </w:r>
    </w:p>
    <w:p>
      <w:r>
        <w:rPr>
          <w:i/>
          <w:color w:val="666666"/>
          <w:sz w:val="18"/>
        </w:rPr>
        <w:t>Kamara M et al.  ·  Eur J Dermatol  ·  01.08.2026  ·  PMID 42702021</w:t>
      </w:r>
    </w:p>
    <w:p>
      <w:r>
        <w:t>Retrospektive Studie an 132 japanischen Psoriasispatienten, bei denen KI-Modell zur BMD-Schätzung aus Thoraxaufnahmen trainiert und validiert wurde, um Osteoporose-Screening ohne DXA zu ermöglichen.</w:t>
      </w:r>
    </w:p>
    <w:p>
      <w:r>
        <w:rPr>
          <w:b/>
        </w:rPr>
        <w:t xml:space="preserve">Ergebnis: </w:t>
      </w:r>
      <w:r>
        <w:t>Höhere AI-geschätzte Osteoporoseprävale bei männlichen Patienten mittleren Alters; längere Erkrankungsdauer (≥7 Jahre) signifikant mit niedrigerer BMD assoziiert (p=0,0032); PASI-Score und Subtyp zeigten Trends ohne Signifikanz.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– Demonstriert Opportunistic Screening; Übertragbarkeit auf Deutschland durch visuelle Datentyp, limitiert durch Modellvalidierung nur an japanischer Population</w:t>
      </w:r>
    </w:p>
    <w:p>
      <w:r>
        <w:rPr>
          <w:color w:val="5A7D3A"/>
          <w:sz w:val="18"/>
        </w:rPr>
        <w:t>https://pubmed.ncbi.nlm.nih.gov/42702021/</w:t>
      </w:r>
    </w:p>
    <w:p>
      <w:pPr>
        <w:pStyle w:val="Heading2"/>
      </w:pPr>
      <w:r>
        <w:t>Mobile-App für informelle Demenzbetreuer: Verbesserung psychosozialer Lebensqualität in RCT</w:t>
      </w:r>
    </w:p>
    <w:p>
      <w:r>
        <w:rPr>
          <w:i/>
          <w:color w:val="666666"/>
          <w:sz w:val="18"/>
        </w:rPr>
        <w:t>Yüceer B et al.  ·  BMC Geriatr  ·  04.09.2026  ·  PMID 42701191</w:t>
      </w:r>
    </w:p>
    <w:p>
      <w:r>
        <w:t>Randomisierte Studie zur Wirksamkeit einer benutzergerecht entwickelten Smartphone-App zur Entlastung informeller Demenzbetreuungspersonen in der häuslichen Versorgung.</w:t>
      </w:r>
    </w:p>
    <w:p>
      <w:r>
        <w:rPr>
          <w:b/>
        </w:rPr>
        <w:t xml:space="preserve">Ergebnis: </w:t>
      </w:r>
      <w:r>
        <w:t>Die App verbesserte nach 8 Wochen die psychologische Lebensqualität (p &lt; 0,001) und Gesamtlebensqualität (p &lt; 0,001) signifikant, nicht aber Belastung, neuropsychiatrische Symptome oder damit verbundene Distress; gute Usability gemessen.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– deutschsprachige Gesundheitssysteme zeigen ähnliche informelle Caregiving-Strukturen</w:t>
      </w:r>
    </w:p>
    <w:p>
      <w:r>
        <w:rPr>
          <w:color w:val="5A7D3A"/>
          <w:sz w:val="18"/>
        </w:rPr>
        <w:t>https://pubmed.ncbi.nlm.nih.gov/42701191/</w:t>
      </w:r>
    </w:p>
    <w:p>
      <w:pPr>
        <w:pStyle w:val="Heading2"/>
      </w:pPr>
      <w:r>
        <w:t>Elektronische Benachrichtigungen bei DOAC-Dosierungsfehlern: Kliniker-Compliance und Korrekturraten</w:t>
      </w:r>
    </w:p>
    <w:p>
      <w:r>
        <w:rPr>
          <w:i/>
          <w:color w:val="666666"/>
          <w:sz w:val="18"/>
        </w:rPr>
        <w:t>Saraswat A et al.  ·  Res Pract Thromb Haemost  ·  06.08.2026  ·  PMID 42699097</w:t>
      </w:r>
    </w:p>
    <w:p>
      <w:r>
        <w:t>Retrospektive Analyse von 267 asynchronen EHR-Meldungen zu inadäquater DOAC-Dosierung, um zu verstehen, warum Ärzte und Apotheker die Empfehlung zur Dosisumdruck umsetzen oder nicht.</w:t>
      </w:r>
    </w:p>
    <w:p>
      <w:r>
        <w:rPr>
          <w:b/>
        </w:rPr>
        <w:t xml:space="preserve">Ergebnis: </w:t>
      </w:r>
      <w:r>
        <w:t>Insgesamt 32,7 % der Meldungen führten zu Dosisänderung; Apixaban-Erhöhung: nur 16,8 % Umsetzung; Apixaban-Reduktion: 52 %; Rivaroxaban-Änderungen: 43,2–43,6 %; Originalverschreiber dokumentierten seltener Gründe für Nichtanpassung (46,1 % vs. 90,5 % bei Apothekern).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USA-EHR-Kontext; Versorgungsprozessergebnis unabhängig vom Regulierungssystem, aber Implementierbarkeit auf deutsche Kliniken zu prüfen</w:t>
      </w:r>
    </w:p>
    <w:p>
      <w:r>
        <w:rPr>
          <w:color w:val="5A7D3A"/>
          <w:sz w:val="18"/>
        </w:rPr>
        <w:t>https://pubmed.ncbi.nlm.nih.gov/42699097/</w:t>
      </w:r>
    </w:p>
    <w:p>
      <w:pPr>
        <w:pStyle w:val="Heading2"/>
      </w:pPr>
      <w:r>
        <w:t>Co-Design-Toolkit für digitale Technologien zur Aktivität älterer Menschen: SME-Implementierung</w:t>
      </w:r>
    </w:p>
    <w:p>
      <w:r>
        <w:rPr>
          <w:i/>
          <w:color w:val="666666"/>
          <w:sz w:val="18"/>
        </w:rPr>
        <w:t>Cooper L et al.  ·  JMIR Aging  ·  27.08.2026  ·  PMID 42684330</w:t>
      </w:r>
    </w:p>
    <w:p>
      <w:r>
        <w:t>Qualitative Studie zur Entwicklung eines partizipativ co-designten Toolkits, das Anforderungen älterer Nutzer in digitale Produktentwicklung übersetzen soll; 10 KMU setzen es um.</w:t>
      </w:r>
    </w:p>
    <w:p>
      <w:r>
        <w:rPr>
          <w:b/>
        </w:rPr>
        <w:t xml:space="preserve">Ergebnis: </w:t>
      </w:r>
      <w:r>
        <w:t>KMU berichten: verbesserte Usability, erweiterte Zugänglichkeit, mehr Inhaltsvielfalt, reduzierte Betriebskosten, stärkere Investmentcases und höhere Produktaufnahme; 7 Themen identifiziert (Motivation, Barrieren, Design, Akzeptanz).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Schottland – vergleichbare europäische Digitalisierungsreifegrad und Gesundheitssystemkultur</w:t>
      </w:r>
    </w:p>
    <w:p>
      <w:r>
        <w:rPr>
          <w:color w:val="5A7D3A"/>
          <w:sz w:val="18"/>
        </w:rPr>
        <w:t>https://pubmed.ncbi.nlm.nih.gov/42684330/</w:t>
      </w:r>
    </w:p>
    <w:p>
      <w:pPr>
        <w:pStyle w:val="Heading2"/>
      </w:pPr>
      <w:r>
        <w:t>Modular-digitales Curriculum für Pharmazie: Co-Design-Stakeholder-Workshop in Europa</w:t>
      </w:r>
    </w:p>
    <w:p>
      <w:r>
        <w:rPr>
          <w:i/>
          <w:color w:val="666666"/>
          <w:sz w:val="18"/>
        </w:rPr>
        <w:t>Maia MR et al.  ·  Front Public Health  ·  29.07.2026  ·  PMID 42591624</w:t>
      </w:r>
    </w:p>
    <w:p>
      <w:r>
        <w:t>Qualitative Expertenworkshop-Studie mit 30 Teilnehmern aus 13 europäischen Ländern zur Co-Gestaltung eines modularen Digital-Health-Curriculums für Pharmaziestudium.</w:t>
      </w:r>
    </w:p>
    <w:p>
      <w:r>
        <w:rPr>
          <w:b/>
        </w:rPr>
        <w:t xml:space="preserve">Ergebnis: </w:t>
      </w:r>
      <w:r>
        <w:t>8 Modulentwürfe co-designt (EHR, Apps, LLM, Telehealth, Datenschutz/Regulatorik, Gesundheitskompetenz, KI); dreigestuftes Sequenzierungsmodell (Grundlagen/Anwendung/Fortgeschritten); Machbarkeitsfaktoren: Facultyexpertise, Curriculumsdichte, Akkreditierung, digitale Reife der Institutionen.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Fachaustausch (Innsbruck) – direkt auf deutsche Pharmazieprogramme übertragbar</w:t>
      </w:r>
    </w:p>
    <w:p>
      <w:r>
        <w:rPr>
          <w:color w:val="5A7D3A"/>
          <w:sz w:val="18"/>
        </w:rPr>
        <w:t>https://pubmed.ncbi.nlm.nih.gov/42591624/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2026-09-07T06:00:00Z</dcterms:created>
  <dcterms:modified xsi:type="dcterms:W3CDTF">2026-09-07T06:00:00Z</dcterms:modified>
  <cp:category/>
</cp:coreProperties>
</file>