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30.10.2026  |  6 Studien  |  ki.m-vf.de</w:t>
      </w:r>
    </w:p>
    <w:p>
      <w:pPr>
        <w:pStyle w:val="Heading1"/>
      </w:pPr>
      <w:r>
        <w:t>Aufgenommen am 30.10.2026</w:t>
      </w:r>
    </w:p>
    <w:p>
      <w:pPr>
        <w:pStyle w:val="Heading2"/>
      </w:pPr>
      <w:r>
        <w:t>KI-Scribes in der Pädiatrie: Elternperspektiven auf Dokumentationsassistenz</w:t>
      </w:r>
    </w:p>
    <w:p>
      <w:r>
        <w:rPr>
          <w:i/>
          <w:color w:val="666666"/>
          <w:sz w:val="18"/>
        </w:rPr>
        <w:t>Pletta KH et al.  ·  Appl Clin Inform  ·  29.10.2026  ·  PMID 42956816</w:t>
      </w:r>
    </w:p>
    <w:p>
      <w:r>
        <w:t>Qualitative Studie mit 33 Eltern zu Erfahrungen mit virtuellen Scribes und hypothetischen KI-Scribes bei Kinderarztbesuchen.</w:t>
      </w:r>
    </w:p>
    <w:p>
      <w:r>
        <w:rPr>
          <w:b/>
        </w:rPr>
        <w:t xml:space="preserve">Ergebnis: </w:t>
      </w:r>
      <w:r>
        <w:t>Zwei Themen zu virtuellen Scribes: Eltern fühlten sich besser gehört und die Arztkommunikation fokussierter; Vertrauen in Third-Party-Listeners war gering, aber Scribes unauffällig. Zu KI-Scribes: Sorgen vor Genauigkeit und Datensicherheit, aber Interesse an Effizienzgewinnen. Eltern bevorzugten menschliche Informationsverarbeitung, erkannten aber Kostenpotential von KI.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aber Qualitätsfragen und Vertrauensaspekte sind kulturunabhängig; Design-Learnings für deutsches Gesundheitswesen relevant.</w:t>
      </w:r>
    </w:p>
    <w:p>
      <w:r>
        <w:rPr>
          <w:color w:val="5A7D3A"/>
          <w:sz w:val="18"/>
        </w:rPr>
        <w:t>https://pubmed.ncbi.nlm.nih.gov/42956816/</w:t>
      </w:r>
    </w:p>
    <w:p>
      <w:pPr>
        <w:pStyle w:val="Heading2"/>
      </w:pPr>
      <w:r>
        <w:t>KI in Public Health: Scoping Review aktueller Anwendungen im Versorgungssystem</w:t>
      </w:r>
    </w:p>
    <w:p>
      <w:r>
        <w:rPr>
          <w:i/>
          <w:color w:val="666666"/>
          <w:sz w:val="18"/>
        </w:rPr>
        <w:t>Harrison S et al.  ·  J Med Internet Res  ·  29.10.2026  ·  PMID 42956087</w:t>
      </w:r>
    </w:p>
    <w:p>
      <w:r>
        <w:t>Scoping Review von 2020–2025 zur aktuellen Nutzung von KI-Werkzeugen durch Public-Health-Profis in Hocheinkommensländern.</w:t>
      </w:r>
    </w:p>
    <w:p>
      <w:r>
        <w:rPr>
          <w:b/>
        </w:rPr>
        <w:t xml:space="preserve">Ergebnis: </w:t>
      </w:r>
      <w:r>
        <w:t>8 von 5.400 gescreenten Arbeiten berichteten von Versorgungspraxis: 3 Chatbot-Anwendungen (gemischte Effektivität), 1 Machine Learning für Nachfrageprognose, 2 KI für Symptomcheck, 2 für Evidence-Synthese. Gesamtaussage: trotz umfassender Suche wenig empirische Evidenz aus Praxis außerhalb von Ausbrüchen; gemischte Ergebnisse – manche Chatbots hilfreich, manche untergraben Vertrauen. Neue Interventionen sollten systematisch evaluiert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Hocheinkommensländer weltweit – Mangel an versorgungspraktischer Evidenz betrifft auch Deutschland.</w:t>
      </w:r>
    </w:p>
    <w:p>
      <w:r>
        <w:rPr>
          <w:color w:val="5A7D3A"/>
          <w:sz w:val="18"/>
        </w:rPr>
        <w:t>https://pubmed.ncbi.nlm.nih.gov/42956087/</w:t>
      </w:r>
    </w:p>
    <w:p>
      <w:pPr>
        <w:pStyle w:val="Heading2"/>
      </w:pPr>
      <w:r>
        <w:t>Machine Learning für Mobilität nach Wirbelbruch: zwei-stufiges Modell mit Fokus auf Fehlerreduktion</w:t>
      </w:r>
    </w:p>
    <w:p>
      <w:r>
        <w:rPr>
          <w:i/>
          <w:color w:val="666666"/>
          <w:sz w:val="18"/>
        </w:rPr>
        <w:t>Voelker A et al.  ·  JMIR Form Res  ·  29.10.2026  ·  PMID 42955877</w:t>
      </w:r>
    </w:p>
    <w:p>
      <w:r>
        <w:t>Prospektive Kohortenstudie mit 158 älteren Patienten zur Vorhersage der Entlassmobilität nach osteoporotischer Wirbelkörperfraktur mit Machine Learning und Minimierung klinisch relevanter Fehlklassifizierungen.</w:t>
      </w:r>
    </w:p>
    <w:p>
      <w:r>
        <w:rPr>
          <w:b/>
        </w:rPr>
        <w:t xml:space="preserve">Ergebnis: </w:t>
      </w:r>
      <w:r>
        <w:t>Präfrakturelle Mobilität war einziger signifikanter unabhängiger Prädiktor (OR 3,38; 95%-KI 1,68–6,80; p&lt;0,001). Das 2-stufige Modell reduzierte extreme Fehlklassifizierungen (LOW-HIGH): 5 statt 22 im Basis-Modell. Im verschachtelten Cross-Validation: mittleres Macro-F1 0,388; Fehler Mittelwert 8,3 versus 22,5 (Baseline). Externe Validierung erforderlich vor klinischem Einsatz.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 Strukturen – prospektives Design und Fokus auf Fehlerreduktion statt Genauigkeit wertvoll.</w:t>
      </w:r>
    </w:p>
    <w:p>
      <w:r>
        <w:rPr>
          <w:color w:val="5A7D3A"/>
          <w:sz w:val="18"/>
        </w:rPr>
        <w:t>https://pubmed.ncbi.nlm.nih.gov/42955877/</w:t>
      </w:r>
    </w:p>
    <w:p>
      <w:pPr>
        <w:pStyle w:val="Heading2"/>
      </w:pPr>
      <w:r>
        <w:t>DiGA Nutzung bei Angststörungen und Depression: Aktivität, Abbruchgründe und Altersunterschiede</w:t>
      </w:r>
    </w:p>
    <w:p>
      <w:r>
        <w:rPr>
          <w:i/>
          <w:color w:val="666666"/>
          <w:sz w:val="18"/>
        </w:rPr>
        <w:t>Höfer K et al.  ·  J Med Internet Res  ·  29.10.2026  ·  PMID 42955071</w:t>
      </w:r>
    </w:p>
    <w:p>
      <w:r>
        <w:t>Querschnittsstudie zur Nutzung von zertifizierten Digitalen Gesundheitsanwendungen (DiGA) für psychische Erkrankungen in Deutschland mit Daten von gesetzlich Versicherten.</w:t>
      </w:r>
    </w:p>
    <w:p>
      <w:r>
        <w:rPr>
          <w:b/>
        </w:rPr>
        <w:t xml:space="preserve">Ergebnis: </w:t>
      </w:r>
      <w:r>
        <w:t>Von 769 eingeladenen DiGA-Nutzern antworteten 38,5 % (n=487). Davon berichteten 70,9 % aktive Nutzung über mindestens 5 Wochen, 58,4 % vollendeten das Programm. Programmabschlüsse stiegen altersabhängig von 44,4 % (18–40 Jahre) auf 75,9 % (≥61 Jahre). Häufigste Abbruchgründe: Motivationsmangel (55,5 %), unzureichende Personalisierung (44,7 %). Real-World-Evidenz zeigt: Viele DiGA-Nutzer erreichen mehrwöchige Aktivität, aber jüngere Patienten benötigen bessere Retention-Strategien.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Techniker Krankenkasse – direkt auf das DiGA-System und Versichertenstruktur übertragbar.</w:t>
      </w:r>
    </w:p>
    <w:p>
      <w:r>
        <w:rPr>
          <w:color w:val="5A7D3A"/>
          <w:sz w:val="18"/>
        </w:rPr>
        <w:t>https://pubmed.ncbi.nlm.nih.gov/42955071/</w:t>
      </w:r>
    </w:p>
    <w:p>
      <w:pPr>
        <w:pStyle w:val="Heading2"/>
      </w:pPr>
      <w:r>
        <w:t>LLM-Leistung auf Facharzt-Examen: Hohe Scores, aber begrenzte Konstruktvalidität</w:t>
      </w:r>
    </w:p>
    <w:p>
      <w:r>
        <w:rPr>
          <w:i/>
          <w:color w:val="666666"/>
          <w:sz w:val="18"/>
        </w:rPr>
        <w:t>García-Hidalgo C et al.  ·  JMIR Med Educ  ·  29.10.2026  ·  PMID 42954916</w:t>
      </w:r>
    </w:p>
    <w:p>
      <w:r>
        <w:t>Analyse von 839 Prüfungsfragen aus vier spanischen Facharzt-Examen (MIR, EIR, PIR, FIR) mit 12 LLM-Konfigurationen (GPT, Claude) zur Überprüfung, ob hohe Modell-Scores menschliche Kompetenz abbilden.</w:t>
      </w:r>
    </w:p>
    <w:p>
      <w:r>
        <w:rPr>
          <w:b/>
        </w:rPr>
        <w:t xml:space="preserve">Ergebnis: </w:t>
      </w:r>
      <w:r>
        <w:t>Höchste gepoolte Genauigkeit 94,8 %; alle 12 Konfigurationen 668/828 Fragen (80,7 %) korrekt. Aber Korrelation Mensch-Maschine bei Item-Schwierigkeit nur 0,40 (95%-KI 0,34–0,45) – niedriger als simuliert (0,63; p&lt;.001). LLM-Fehler unterscheiden sich nicht von Mensch; Bild-Items problematisch (OR 0,33 wenn Bilder vorhanden, OR 0,11 ohne). Warnung: hohe Scores bedeuten nicht Äquivalenz zu menschlicher Kompetenz.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Spanisches System ähnlich IMPP in Deutschland – Validierungsmethode und Vorsicht vor LLM-Scores als Kompetenzbeweise übertragbar.</w:t>
      </w:r>
    </w:p>
    <w:p>
      <w:r>
        <w:rPr>
          <w:color w:val="5A7D3A"/>
          <w:sz w:val="18"/>
        </w:rPr>
        <w:t>https://pubmed.ncbi.nlm.nih.gov/42954916/</w:t>
      </w:r>
    </w:p>
    <w:p>
      <w:pPr>
        <w:pStyle w:val="Heading2"/>
      </w:pPr>
      <w:r>
        <w:t>KI-gestützte Gesundheit und Datenschutz in der EU: Vertrauensarchitektur für den Gesundheitsdatenraum</w:t>
      </w:r>
    </w:p>
    <w:p>
      <w:r>
        <w:rPr>
          <w:i/>
          <w:color w:val="666666"/>
          <w:sz w:val="18"/>
        </w:rPr>
        <w:t>Ducret M et al.  ·  J Med Internet Res  ·  27.10.2026  ·  PMID 42954095</w:t>
      </w:r>
    </w:p>
    <w:p>
      <w:r>
        <w:t>Konzeptionelle Analyse, wie der europäische Gesundheitsdatenraum (EHDS) die Spannung zwischen KI-gestützter Personalisierung und Patientenprivacy durch Governance-Mechanismen regeln kann.</w:t>
      </w:r>
    </w:p>
    <w:p>
      <w:r>
        <w:rPr>
          <w:b/>
        </w:rPr>
        <w:t xml:space="preserve">Ergebnis: </w:t>
      </w:r>
      <w:r>
        <w:t>Fünf notwendige Bedingungen für Vertrauensmanagement identifiziert: zweckspezifische Governance, benutzerfreundliche Opt-out-Gestaltung, mediziner-mediierte Transparenz, datenschutzerhaltende Infrastruktur und unabhängige Kontrolle. Wenn implementiert, kann EHDS Personalisierung ermöglichen, ohne Privacy zu opfern – abhängig von Umsetzungsqualität, nicht nur Regelwerk.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EU-Verordnung 2025/327 – Framework-Analyse direkt auf Deutschland anwendbar.</w:t>
      </w:r>
    </w:p>
    <w:p>
      <w:r>
        <w:rPr>
          <w:color w:val="5A7D3A"/>
          <w:sz w:val="18"/>
        </w:rPr>
        <w:t>https://pubmed.ncbi.nlm.nih.gov/42954095/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2026-10-30T06:00:00Z</dcterms:created>
  <dcterms:modified xsi:type="dcterms:W3CDTF">2026-10-30T06:00:00Z</dcterms:modified>
  <cp:category/>
</cp:coreProperties>
</file>