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Digitalisierung, KI und Gesundheit</w:t>
      </w:r>
    </w:p>
    <w:p>
      <w:r>
        <w:rPr>
          <w:i/>
          <w:color w:val="666666"/>
          <w:sz w:val="18"/>
        </w:rPr>
        <w:t>Stand: 22.08.2026  |  26 Studien  |  ki.m-vf.de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Menschlich regulierte KI-Informationstechnologie für sichere psychische Teleberatung: Governance-Framework und Risikokontroll-Layers</w:t>
      </w:r>
    </w:p>
    <w:p>
      <w:r>
        <w:rPr>
          <w:i/>
          <w:color w:val="666666"/>
          <w:sz w:val="18"/>
        </w:rPr>
        <w:t>Yang MA et al.  ·  JMIR Form Res  ·  21.08.2026  ·  PMID 42628031</w:t>
      </w:r>
    </w:p>
    <w:p>
      <w:r>
        <w:t>Sekundäre Rahmenentwicklung mit Anforderungs-Mapping für sichere KI-gestützte psychische Beratung, basierend auf Korean AI Hub Beratungs-Datensätzen und Analyse von Fehler-Modi von Zusammenfassungs- und Screening-Modellen.</w:t>
      </w:r>
    </w:p>
    <w:p>
      <w:r>
        <w:rPr>
          <w:b/>
        </w:rPr>
        <w:t xml:space="preserve">Ergebnis: </w:t>
      </w:r>
      <w:r>
        <w:t>Dokumentiert Fehlermuster in LLM-generierten Zusammenfassungen: 55,4% enthielten unbegründete Inhalte, 31,7% über-diagnostische Formulierungen, 54,7% medikalisierte Ausdrücke; insgesamt 91,4% der Test-Fälle triggerten mindestens eine regelbasierte Sicherheits-Flag. Entwickelt 7-stufigen Workflow, 6 Kontroll-Layers, operatives Sicherheits-Gate und Crosswalk zwischen Workflow und Kontrolle. Keine Deployment ohne menschliche Validierung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NLP und Datenschutz-Aspekte aber auf deutsche Teleberatungsszenarien übertragbar; zeigt Notwendigkeit von Governance vor Einsatz</w:t>
      </w:r>
    </w:p>
    <w:p>
      <w:r>
        <w:rPr>
          <w:color w:val="5A7D3A"/>
          <w:sz w:val="18"/>
        </w:rPr>
        <w:t>https://pubmed.ncbi.nlm.nih.gov/42628031/</w:t>
      </w:r>
    </w:p>
    <w:p>
      <w:pPr>
        <w:pStyle w:val="Heading2"/>
      </w:pPr>
      <w:r>
        <w:t>KI-gestützte klinische Entscheidungsunterstützung in der Medizin: Patient:innenvertrauen hängt von der Modus und Timing des AI-Einsatzes ab</w:t>
      </w:r>
    </w:p>
    <w:p>
      <w:r>
        <w:rPr>
          <w:i/>
          <w:color w:val="666666"/>
          <w:sz w:val="18"/>
        </w:rPr>
        <w:t>Schaffernak I et al.  ·  J Med Internet Res  ·  21.08.2026  ·  PMID 42627987</w:t>
      </w:r>
    </w:p>
    <w:p>
      <w:r>
        <w:t>Zwei experimentelle Studien testeten, wie Typ und Timing von KI-Unterstützung für Ärzte das Vertrauen von Patient:innen in medizinische Entscheidungen beeinflussen.</w:t>
      </w:r>
    </w:p>
    <w:p>
      <w:r>
        <w:rPr>
          <w:b/>
        </w:rPr>
        <w:t xml:space="preserve">Ergebnis: </w:t>
      </w:r>
      <w:r>
        <w:t>Diagnose-KI (im Vergleich zu beschreibender KI) reduzierte das Vertrauen in medizinische Entscheidungen signifikant (5,00 vs. 5,37 auf 7er-Skala; p=0,002) und die wahrgenommene Glaubwürdigkeit des Arztes (4,93 vs. 5,40; p&lt;0,001). Wenn Ärzte KI-Ergebnisse unabhängig von ihrer eigenen Einschätzung prüften (sequenzielle Entscheidungsfindung), verschärfte sich dieser Effekt nicht – das Vertrauen blieb höher als bei gleichzeitiger KI- und Informationsprüfung. Das Vertrauen in Ärztliche Unabhängigkeit spielte eine zentrale Rolle.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Studienteilnehmer:innen, Messaging für KI-Implementierung auf lokale Kontexte übertragbar</w:t>
      </w:r>
    </w:p>
    <w:p>
      <w:r>
        <w:rPr>
          <w:color w:val="5A7D3A"/>
          <w:sz w:val="18"/>
        </w:rPr>
        <w:t>https://pubmed.ncbi.nlm.nih.gov/42627987/</w:t>
      </w:r>
    </w:p>
    <w:p>
      <w:pPr>
        <w:pStyle w:val="Heading2"/>
      </w:pPr>
      <w:r>
        <w:t>Large Language Models zur automatisierten Klassifizierung postoperativer Komplikationen aus Kliniktexten: Zero-Shot-Ansatz im Krankenhaus</w:t>
      </w:r>
    </w:p>
    <w:p>
      <w:r>
        <w:rPr>
          <w:i/>
          <w:color w:val="666666"/>
          <w:sz w:val="18"/>
        </w:rPr>
        <w:t>Warmer S et al.  ·  J Med Internet Res  ·  21.08.2026  ·  PMID 42627683</w:t>
      </w:r>
    </w:p>
    <w:p>
      <w:r>
        <w:t>Sechs LLMs wurden getestet, um postoperative Komplikationen nach der Clavien-Dindo-Klassifikation direkt aus Entlassungsbriefen von Leberchirurgie-Patienten zu erfassen, ohne spezielles Training auf diese Daten.</w:t>
      </w:r>
    </w:p>
    <w:p>
      <w:r>
        <w:rPr>
          <w:b/>
        </w:rPr>
        <w:t xml:space="preserve">Ergebnis: </w:t>
      </w:r>
      <w:r>
        <w:t>Open-Weight-Modelle erreichten Genauigkeiten von 0,75–0,78 für die 5-stufige Klassifikation (F1-Score 0,76–0,78), für binäre Klassifikation (kritisch vs. unkritisch) 0,93–0,94 (F1 0,93–0,95, Cohen κ 0,76–0,79). Performance näherte sich dem Benchmark zwischen zwei Fachleuten (κ=0,75). Proprietary Modelle erreichten 0,78 bzw. 0,94–0,98. Ein Ensemble-Ansatz verbesserte die Robustheit.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Universitätskliniken, ähnliche Dokumentationspflichten und unstrukturierte Klinikabrechnungstexte</w:t>
      </w:r>
    </w:p>
    <w:p>
      <w:r>
        <w:rPr>
          <w:color w:val="5A7D3A"/>
          <w:sz w:val="18"/>
        </w:rPr>
        <w:t>https://pubmed.ncbi.nlm.nih.gov/42627683/</w:t>
      </w:r>
    </w:p>
    <w:p>
      <w:pPr>
        <w:pStyle w:val="Heading2"/>
      </w:pPr>
      <w:r>
        <w:t>Sicherheit und Sicherheitsrisiken großer Sprachmodelle im Klinikalltag: Systematische Übersicht über Hazards, Mitigationen und Stakeholder-Verantwortung</w:t>
      </w:r>
    </w:p>
    <w:p>
      <w:r>
        <w:rPr>
          <w:i/>
          <w:color w:val="666666"/>
          <w:sz w:val="18"/>
        </w:rPr>
        <w:t>Clusmann J et al.  ·  Nature  ·  19.08.2026  ·  PMID 42618758</w:t>
      </w:r>
    </w:p>
    <w:p>
      <w:r>
        <w:t>Systematische Bewertung der aktuellen Literatur zu Sicherheit und Datensicherheit von LLMs in klinischen Settings, mit Kartierung von Hazards auf Entwicklungsphasen (Design, Daten, Modell, Inferenz, Umgebung) und Identifikation von Mitigationsmechanismen.</w:t>
      </w:r>
    </w:p>
    <w:p>
      <w:r>
        <w:rPr>
          <w:b/>
        </w:rPr>
        <w:t xml:space="preserve">Ergebnis: </w:t>
      </w:r>
      <w:r>
        <w:t>Review dokumentiert kritische Sicherheitslücken: Halluzinationen und Verzerrungen, Datenschutz-Verletzungen beim Training, Anfälligkeit für Prompt-Injections und Jailbreaks, fehlende Nachverfolgbarkeit, unzureichende Mensch-Maschine-Interaktion. Mitigationsebenen reichen von Optimierungsbeschränkungen über Knowledge-Integrity bis zur klinischen Überwachung. Nennt neun Stakeholder-Gruppen und deren Verantwortungen – kein einzelner Wert, aber klares Framework.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EU, EU-Regulierung (KI-Verordnung, MDR) direkt relevant; Sicherheits-Befunde modell- und systemunabhängig</w:t>
      </w:r>
    </w:p>
    <w:p>
      <w:r>
        <w:rPr>
          <w:color w:val="5A7D3A"/>
          <w:sz w:val="18"/>
        </w:rPr>
        <w:t>https://pubmed.ncbi.nlm.nih.gov/42618758/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Natural Language Processing zur Identifikation von Beckeninfektionen aus Krankenhaus-Dokumentationen</w:t>
      </w:r>
    </w:p>
    <w:p>
      <w:r>
        <w:rPr>
          <w:i/>
          <w:color w:val="666666"/>
          <w:sz w:val="18"/>
        </w:rPr>
        <w:t>Quentin E et al.  ·  BMJ Open  ·  20.08.2026  ·  PMID 42624602</w:t>
      </w:r>
    </w:p>
    <w:p>
      <w:r>
        <w:t>Entwicklung eines Algorithmus zur automatischen Erkennung von Beckeninfekationen (PID) aus diagnostischen Codes und Freitextberichten in einer großen französischen Klinik-Datenbank.</w:t>
      </w:r>
    </w:p>
    <w:p>
      <w:r>
        <w:rPr>
          <w:b/>
        </w:rPr>
        <w:t xml:space="preserve">Ergebnis: </w:t>
      </w:r>
      <w:r>
        <w:t>Der Algorithmus erreichte bei 1732 NLP-klassifizierten Fällen eine Sensitivität von 0,80, Präzision von 0,74 und F1-Score von 0,77. Bei 93 von Experten klassifizierten Fällen: Sensitivität 0,76, Präzision 0,82, F1-Score 0,79. Insgesamt wurden 901 PID-Episoden in 880 Patienten identifiziert, Chlamydia-Infektionen in 9,9 % nachgewiesen.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Französische Klinikdaten mit vergleichbaren EHR-Strukturen und Dokumentationspflichten.</w:t>
      </w:r>
    </w:p>
    <w:p>
      <w:r>
        <w:rPr>
          <w:color w:val="5A7D3A"/>
          <w:sz w:val="18"/>
        </w:rPr>
        <w:t>https://pubmed.ncbi.nlm.nih.gov/42624602/</w:t>
      </w:r>
    </w:p>
    <w:p>
      <w:pPr>
        <w:pStyle w:val="Heading2"/>
      </w:pPr>
      <w:r>
        <w:t>Implementation eines KI-gestützten Stroke-Entscheidungstools in klinischem Workflow mit Routine-Perfusions-Bildgebung</w:t>
      </w:r>
    </w:p>
    <w:p>
      <w:r>
        <w:rPr>
          <w:i/>
          <w:color w:val="666666"/>
          <w:sz w:val="18"/>
        </w:rPr>
        <w:t>Karlsson A et al.  ·  Eur Stroke J  ·  05.08.2026  ·  PMID 42623551</w:t>
      </w:r>
    </w:p>
    <w:p>
      <w:r>
        <w:t>Retroaktive Untersuchung der Implementierung einer KI-Software (Brainomix 360 Stroke) zur Beschleunigung von Schlaganfall-Bildauswertung in einem schwedischen Hochvolumen-Zentrum mit EVT-Versorgung.</w:t>
      </w:r>
    </w:p>
    <w:p>
      <w:r>
        <w:rPr>
          <w:b/>
        </w:rPr>
        <w:t xml:space="preserve">Ergebnis: </w:t>
      </w:r>
      <w:r>
        <w:t>Adjustierte Median-Zeit von NCCT zu Leistenpunktion sank signifikant von 47 min (vor Implementierung) auf 36 min (Lernphase) und 35 min (etablierte Phase). CT-zu-Perfusions-Verfügbarkeit: 7 min → 6 min. In primären Stroke-Centern ähnliche Ergebnisse; keine signifikanten Unterschiede in klinischen Outcomes (neurologische Besserung, funktionelle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Hochvolumen-Zentrum mit europäischem Workflow und standardisierter Bildgebung; Zeitgewinne übertragbar auf vergleichbare deutsche Zentren.</w:t>
      </w:r>
    </w:p>
    <w:p>
      <w:r>
        <w:rPr>
          <w:color w:val="5A7D3A"/>
          <w:sz w:val="18"/>
        </w:rPr>
        <w:t>https://pubmed.ncbi.nlm.nih.gov/42623551/</w:t>
      </w:r>
    </w:p>
    <w:p>
      <w:pPr>
        <w:pStyle w:val="Heading2"/>
      </w:pPr>
      <w:r>
        <w:t>Machine-Learning-Modelle zur Vorhersage von Akutem Nierenschaden und Post-AKI-Mortalität: Systematische Übersicht und Metaanalyse</w:t>
      </w:r>
    </w:p>
    <w:p>
      <w:r>
        <w:rPr>
          <w:i/>
          <w:color w:val="666666"/>
          <w:sz w:val="18"/>
        </w:rPr>
        <w:t>Xiao H et al.  ·  J Med Internet Res  ·  20.08.2026  ·  PMID 42623396</w:t>
      </w:r>
    </w:p>
    <w:p>
      <w:r>
        <w:t>Systematische Übersicht und Metaanalyse von 219 Studien mit 7,3 Millionen Teilnehmern zu Diskriminationsgüte von ML-Modellen für Vorhersage von akutem Nierenschaden und Post-AKI-Mortalität in realen klinischen Daten.</w:t>
      </w:r>
    </w:p>
    <w:p>
      <w:r>
        <w:rPr>
          <w:b/>
        </w:rPr>
        <w:t xml:space="preserve">Ergebnis: </w:t>
      </w:r>
      <w:r>
        <w:t>Gepooltes AUC für AKI-Auftreten: 0,834 (95%-KI 0,821–0,846); für Post-AKI-Mortalität: 0,830 (95%-KI 0,807–0,851). Externe Validierung selten (16,0 % für AKI-Auftreten, 29,0 % für Mortalität). Nichtlineare Modelle (Deep Learning, Ensemble-Methoden) zeigten höhere AUC-Punktschätzungen. PROBAST+AI-Bewertung: 58,9 % niedriges Risiko, 38,4 % hohes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 mit unterschiedlichen Datenquellen; methodische Erkenntnisse auf deutsche ICU-Populationen übertragbar, aber externe Validierung an deutschen Daten erforderlich.</w:t>
      </w:r>
    </w:p>
    <w:p>
      <w:r>
        <w:rPr>
          <w:color w:val="5A7D3A"/>
          <w:sz w:val="18"/>
        </w:rPr>
        <w:t>https://pubmed.ncbi.nlm.nih.gov/42623396/</w:t>
      </w:r>
    </w:p>
    <w:p>
      <w:pPr>
        <w:pStyle w:val="Heading2"/>
      </w:pPr>
      <w:r>
        <w:t>EHR-integriertes LLM-gestütztes Triage-Tool für chirurgische Patienten zur Identifikation von Comanagement-Kandidaten</w:t>
      </w:r>
    </w:p>
    <w:p>
      <w:r>
        <w:rPr>
          <w:i/>
          <w:color w:val="666666"/>
          <w:sz w:val="18"/>
        </w:rPr>
        <w:t>Wang J et al.  ·  JAMA Netw Open  ·  03.08.2026  ·  PMID 42623072</w:t>
      </w:r>
    </w:p>
    <w:p>
      <w:r>
        <w:t>Prospektive Qualitätsverbesserungsstudie eines LLM-basierten Entscheidungsunterstützungs-Tools in der EHR zur automatisierten Triage von Patienten für Hospitalist-Chirurg-Comanagement an der Stanford-Klinik.</w:t>
      </w:r>
    </w:p>
    <w:p>
      <w:r>
        <w:rPr>
          <w:b/>
        </w:rPr>
        <w:t xml:space="preserve">Ergebnis: </w:t>
      </w:r>
      <w:r>
        <w:t>Bei 6193 Patienten: Sensitivität 0,94 (95%-KI 0,91–0,96), Spezifität 0,74 (95%-KI 0,71–0,77). 25,5 % der Patienten als Comanagement-Kandidaten identifiziert. Nachträgliche Überprüfung zeigte, dass die meisten Diskrepanzen auf modifizierbare Lücken in klinischen Kriterien oder Workflow, nicht auf KI-Fehler (2 von 19 false-negatives) zurückgingen.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USA-Setting, aber Workflow und Entscheidungskriterien für Comanagement ähneln deutschen Modellen; EHR-Integration relevant für Versorgungsforschung hierzulande.</w:t>
      </w:r>
    </w:p>
    <w:p>
      <w:r>
        <w:rPr>
          <w:color w:val="5A7D3A"/>
          <w:sz w:val="18"/>
        </w:rPr>
        <w:t>https://pubmed.ncbi.nlm.nih.gov/42623072/</w:t>
      </w:r>
    </w:p>
    <w:p>
      <w:pPr>
        <w:pStyle w:val="Heading2"/>
      </w:pPr>
      <w:r>
        <w:t>Nutzerwahrnehmung von KI-generierten gegenüber humangenerierten Antworten in der digitalen Gesundheitskommunikation</w:t>
      </w:r>
    </w:p>
    <w:p>
      <w:r>
        <w:rPr>
          <w:i/>
          <w:color w:val="666666"/>
          <w:sz w:val="18"/>
        </w:rPr>
        <w:t>Schulz C et al.  ·  BMC Health Serv Res  ·  19.08.2026  ·  PMID 42618915</w:t>
      </w:r>
    </w:p>
    <w:p>
      <w:r>
        <w:t>Vergleich von ChatGPT-4-generierten versus von Physiotherapeuten verfassten Antworten auf Patientengesundheitsfragen in Deutschland anhand von Nutzerurteilen zu Verständlichkeit, Empathie und Diskriminierungsrisiko.</w:t>
      </w:r>
    </w:p>
    <w:p>
      <w:r>
        <w:rPr>
          <w:b/>
        </w:rPr>
        <w:t xml:space="preserve">Ergebnis: </w:t>
      </w:r>
      <w:r>
        <w:t>224 Teilnehmer bewerteten KI-Antworten signifikant höher bei Verständlichkeit und Empathie (beide p &lt; 0,001). KI-Antwort: bevorzugt bei Empathie und Klarheit; Expert:innen beurteilten KI-Antwort auch klinisch korrekter. Wahrnehmungen von Diskriminierungsinhalten waren selten und unterschieden sich nicht zwischen Antworten.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 mit realen Gesundheitsfragen und Laiennutzern; direkt auf deutsches Publikum übertragbar.</w:t>
      </w:r>
    </w:p>
    <w:p>
      <w:r>
        <w:rPr>
          <w:color w:val="5A7D3A"/>
          <w:sz w:val="18"/>
        </w:rPr>
        <w:t>https://pubmed.ncbi.nlm.nih.gov/42618915/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Klinische Entscheidungsunterstützung für Brustmultidisziplinäre Team-Meetings: validierte KI reduziert Behandlungsvariabilität</w:t>
      </w:r>
    </w:p>
    <w:p>
      <w:r>
        <w:rPr>
          <w:i/>
          <w:color w:val="666666"/>
          <w:sz w:val="18"/>
        </w:rPr>
        <w:t>Jeffery H et al.  ·  BMJ Health Care Inform  ·  19.08.2026  ·  PMID 42618288</w:t>
      </w:r>
    </w:p>
    <w:p>
      <w:r>
        <w:t>Qualitätsverbesserungsprojekt zur Validierung einer KI-gestützten Entscheidungsunterstützung (Deontics CDS) für Brust-MDT-Meetings basierend auf internationale Leitlinien an Brust-Chirurgiezentrum (London).</w:t>
      </w:r>
    </w:p>
    <w:p>
      <w:r>
        <w:rPr>
          <w:b/>
        </w:rPr>
        <w:t xml:space="preserve">Ergebnis: </w:t>
      </w:r>
      <w:r>
        <w:t>250 Patientinnen (100 benigne, 150 maligne) schrittweise hinzugefügt. Konkordanz zwischen MDT-Entscheidung und Standard-of-Care-Empfehlung verbesserte sich von 82% auf 100% (benigne) und von 94% auf 100% (maligne). Abschließend 100% Konkordanz für beide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Universitätsklinikum, internationale Guidelines, Strukturtransfer auf Deutschland möglich</w:t>
      </w:r>
    </w:p>
    <w:p>
      <w:r>
        <w:rPr>
          <w:color w:val="5A7D3A"/>
          <w:sz w:val="18"/>
        </w:rPr>
        <w:t>https://pubmed.ncbi.nlm.nih.gov/42618288/</w:t>
      </w:r>
    </w:p>
    <w:p>
      <w:pPr>
        <w:pStyle w:val="Heading2"/>
      </w:pPr>
      <w:r>
        <w:t>Telemedizinische Intervention mit Frühwarnsystem in Pflegeheimen: Wirkung auf Hospitalisierungen</w:t>
      </w:r>
    </w:p>
    <w:p>
      <w:r>
        <w:rPr>
          <w:i/>
          <w:color w:val="666666"/>
          <w:sz w:val="18"/>
        </w:rPr>
        <w:t>Grosser J et al.  ·  JMIR Aging  ·  19.08.2026  ·  PMID 42616612</w:t>
      </w:r>
    </w:p>
    <w:p>
      <w:r>
        <w:t>Clusterzufallstudie in 24 Pflegeheimen (westliches Deutschland) zu einer intersektoral organisierten Telemedizin mit Frühwarnsystem und mobilen medizinischen Laien bei akuten Versorgungsfällen in der vollstationären Altenpflege.</w:t>
      </w:r>
    </w:p>
    <w:p>
      <w:r>
        <w:rPr>
          <w:b/>
        </w:rPr>
        <w:t xml:space="preserve">Ergebnis: </w:t>
      </w:r>
      <w:r>
        <w:t>2.394 Studienpersonen über 8 Perioden. Knapp zwei Drittel aller ausgetesteten Modellspezifikationen zeigten einen schützenden (negativen) Effekt auf Hospitalisierungen, aber kein Modell erreichte statistische Signifikanz (p&lt;0,05). Externe Faktoren (Flutkatastrophe, COVID-19) wurden als Einflussfaktoren genannt.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vergleichbares Sozialversicherungssystem, Implementierungskontext der Routine</w:t>
      </w:r>
    </w:p>
    <w:p>
      <w:r>
        <w:rPr>
          <w:color w:val="5A7D3A"/>
          <w:sz w:val="18"/>
        </w:rPr>
        <w:t>https://pubmed.ncbi.nlm.nih.gov/42616612/</w:t>
      </w:r>
    </w:p>
    <w:p>
      <w:pPr>
        <w:pStyle w:val="Heading2"/>
      </w:pPr>
      <w:r>
        <w:t>Datengestützte Entscheidungsunterstützung für chirurgische Rekonstruktion bei Mundhöhlenkrebs</w:t>
      </w:r>
    </w:p>
    <w:p>
      <w:r>
        <w:rPr>
          <w:i/>
          <w:color w:val="666666"/>
          <w:sz w:val="18"/>
        </w:rPr>
        <w:t>Kupka JR et al.  ·  Clin Oral Investig  ·  19.08.2026  ·  PMID 42616132</w:t>
      </w:r>
    </w:p>
    <w:p>
      <w:r>
        <w:t>Klassifikationsbaum-Analyse an 88 Patienten mit Plattenepithelkarzinom zur Identifikation von objektiven Schwellwerten zwischen lokaler/regionaler und mikrovaskulärer Rekonstruktion unter Berücksichtigung klinischer und ökonomischer Parameter.</w:t>
      </w:r>
    </w:p>
    <w:p>
      <w:r>
        <w:rPr>
          <w:b/>
        </w:rPr>
        <w:t xml:space="preserve">Ergebnis: </w:t>
      </w:r>
      <w:r>
        <w:t>Tumor-Lokalisation, Durchmesser und Resektionstyp als entscheidende Prädiktoren. Lokale Rekonstruktion zeigte signifikant niedrigere perioperative Morbidität (geringere Raten für Tracheotomie und PEG-Sonde, kürzere ICU/Krankenhausaufenthalte). Regional-Verfahren ökonomisch überlegen; mikrovaskuläre Eingriffe brauchten deutlich längere OP-Zeiten. Lappenüberlebensrate: 96,7%.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Struktur und DRG-Kodierung</w:t>
      </w:r>
    </w:p>
    <w:p>
      <w:r>
        <w:rPr>
          <w:color w:val="5A7D3A"/>
          <w:sz w:val="18"/>
        </w:rPr>
        <w:t>https://pubmed.ncbi.nlm.nih.gov/42616132/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KI-gestützte Selbstmanagement-App für Arbeitsfähigkeit nach Muskelskelettverletzungen: SmaRTWork-RCT in Norwegen</w:t>
      </w:r>
    </w:p>
    <w:p>
      <w:r>
        <w:rPr>
          <w:i/>
          <w:color w:val="666666"/>
          <w:sz w:val="18"/>
        </w:rPr>
        <w:t>Aasdahl L et al.  ·  BMJ Open  ·  18.08.2026  ·  PMID 42613108</w:t>
      </w:r>
    </w:p>
    <w:p>
      <w:r>
        <w:t>Randomisierte kontrollierte Studie zur Wirksamkeit einer individualisierten, KI-basierten App zur Unterstützung der Rückkehr in den Beruf bei Patienten mit Muskelskelettstörungen, durchgeführt in Norwegen mit 298 Teilnehmern über 12 Monate.</w:t>
      </w:r>
    </w:p>
    <w:p>
      <w:r>
        <w:rPr>
          <w:b/>
        </w:rPr>
        <w:t xml:space="preserve">Ergebnis: </w:t>
      </w:r>
      <w:r>
        <w:t>Primäres Outcome: Zeitraum bis zu einer nachhaltigen Rückkehr zur Arbeit (mindestens ein Monat ohne Krankmeldung) wird über Registry-Daten gemessen; sekundäre Outcomes erfassen Gesundheitsmaße nach 3, 6 und 12 Monaten. Die Studie ist noch nicht abgeschlossen (Protokoll); Ergebnisse stehen 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Norwegisches Gesundheitssystem, vergleichbare Sozialversicherung mit Deutschland.</w:t>
      </w:r>
    </w:p>
    <w:p>
      <w:r>
        <w:rPr>
          <w:color w:val="5A7D3A"/>
          <w:sz w:val="18"/>
        </w:rPr>
        <w:t>https://pubmed.ncbi.nlm.nih.gov/42613108/</w:t>
      </w:r>
    </w:p>
    <w:p>
      <w:pPr>
        <w:pStyle w:val="Heading2"/>
      </w:pPr>
      <w:r>
        <w:t>Telemedizinische Fernüberwachung in kritischen Anästhesie-Szenarien: Simulationsstudie mit Standards-konformem System</w:t>
      </w:r>
    </w:p>
    <w:p>
      <w:r>
        <w:rPr>
          <w:i/>
          <w:color w:val="666666"/>
          <w:sz w:val="18"/>
        </w:rPr>
        <w:t>Roth J et al.  ·  JMIR Med Inform  ·  18.08.2026  ·  PMID 42612211</w:t>
      </w:r>
    </w:p>
    <w:p>
      <w:r>
        <w:t>Randomisierte Simulationsstudie mit 16 Anästhesie-Assistenzärten, die ein standardisiertes Telemedizin-Überwachungssystem (TSV) mit konventioneller Telefonunterstützung während Notfallszenarien vergleicht.</w:t>
      </w:r>
    </w:p>
    <w:p>
      <w:r>
        <w:rPr>
          <w:b/>
        </w:rPr>
        <w:t xml:space="preserve">Ergebnis: </w:t>
      </w:r>
      <w:r>
        <w:t>SOP-Vollständigung Interventionsgruppe 91,6 % (SD 0,05), Kontrollgruppe 92,5 % (SD 0,04), kein signifikanter Unterschied (P=0,67). Mentale Belastung niedriger mit TSV, aber höhere zeitliche Anforderungen; Nutzer bewerteten TSV als praktikable Alternative.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(RWTH Aachen), direkt übertragbar auf deutsche Operationssäle und Dokumentationspflichten.</w:t>
      </w:r>
    </w:p>
    <w:p>
      <w:r>
        <w:rPr>
          <w:color w:val="5A7D3A"/>
          <w:sz w:val="18"/>
        </w:rPr>
        <w:t>https://pubmed.ncbi.nlm.nih.gov/42612211/</w:t>
      </w:r>
    </w:p>
    <w:p>
      <w:pPr>
        <w:pStyle w:val="Heading2"/>
      </w:pPr>
      <w:r>
        <w:t>Gemischte Reminder-Strategien zur Steigerung der E-Cohort-Teilnahme: randomisierte Kontrollstudie</w:t>
      </w:r>
    </w:p>
    <w:p>
      <w:r>
        <w:rPr>
          <w:i/>
          <w:color w:val="666666"/>
          <w:sz w:val="18"/>
        </w:rPr>
        <w:t>Soyer J et al.  ·  J Med Internet Res  ·  18.08.2026  ·  PMID 42611049</w:t>
      </w:r>
    </w:p>
    <w:p>
      <w:r>
        <w:t>Randomisierte Kontrollstudie mit 20.487 Teilnehmern, die E-Mail-, SMS- und kombinierte Reminder-Strategien zur Verbesserung der Rekrutierung in einer großen französischen Online-Kohorte (Le French Gut) vergleicht.</w:t>
      </w:r>
    </w:p>
    <w:p>
      <w:r>
        <w:rPr>
          <w:b/>
        </w:rPr>
        <w:t xml:space="preserve">Ergebnis: </w:t>
      </w:r>
      <w:r>
        <w:t>Kombinierte Strategie (E-Mail + SMS + institutionelle E-Mail) erhöhte die Abschlussquote um 27 % (9,4 % vs. 7,4–8,3 %; P&lt;0,001). SMS führte zu schnelleren Antworten (mittlerer Abstand 6,3 Tage vs. 7,0–7,2 Tage), institutionelle E-Mails zeigten höhere Klickrate (23,1 % vs. 19,6 %;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Digitalisierungsstandards und Forschungsinfrastruktur in Kontinentaleuropa.</w:t>
      </w:r>
    </w:p>
    <w:p>
      <w:r>
        <w:rPr>
          <w:color w:val="5A7D3A"/>
          <w:sz w:val="18"/>
        </w:rPr>
        <w:t>https://pubmed.ncbi.nlm.nih.gov/42611049/</w:t>
      </w:r>
    </w:p>
    <w:p>
      <w:pPr>
        <w:pStyle w:val="Heading2"/>
      </w:pPr>
      <w:r>
        <w:t>CE-gekennzeichneter Large-Language-Model-Chatbot für evidenzbasierte Neurologie: Funktionalitätsprüfung</w:t>
      </w:r>
    </w:p>
    <w:p>
      <w:r>
        <w:rPr>
          <w:i/>
          <w:color w:val="666666"/>
          <w:sz w:val="18"/>
        </w:rPr>
        <w:t>Kirschner P et al.  ·  Eur J Neurol  ·  Aug. 2026  ·  PMID 42610794</w:t>
      </w:r>
    </w:p>
    <w:p>
      <w:r>
        <w:t>Evaluierung von Prof. Valmed, dem ersten CE-gekennzeichneten LLM-Tool für medizinische Informationsbeschaffung in Europa, an einem 130-Item-Benchmark basierend auf Richtlinien der American Academy of Neurology.</w:t>
      </w:r>
    </w:p>
    <w:p>
      <w:r>
        <w:rPr>
          <w:b/>
        </w:rPr>
        <w:t xml:space="preserve">Ergebnis: </w:t>
      </w:r>
      <w:r>
        <w:t>Prof. Valmed erreichte 76,2 % korrekte Antworten, 14,6 % ungenau, 6,9 % falsch, 2,3 % verweigert. Performance vergleichbar mit handelsüblichen LLM-Tools, signifikant besser als 8 Modelle, aber schlechter als ein reasoning-fähiges System mit Whitelisting von Neurologie-Quellen. CE-Kennzeichnung garantiert eher regulatorische Konformität als Leistungsvorteil.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(CE-Kennzeichnung europäisch gültig), aber regulatorischer Rahmen unterscheidet sich von FDA; klinischer Nutzen unabhängig vom Zulassungsstatus.</w:t>
      </w:r>
    </w:p>
    <w:p>
      <w:r>
        <w:rPr>
          <w:color w:val="5A7D3A"/>
          <w:sz w:val="18"/>
        </w:rPr>
        <w:t>https://pubmed.ncbi.nlm.nih.gov/42610794/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Large Language Models für deutsche Leitlinienempfehlungen: Retrieval-Augmented Generation mit Benchmark-Evaluierung</w:t>
      </w:r>
    </w:p>
    <w:p>
      <w:r>
        <w:rPr>
          <w:i/>
          <w:color w:val="666666"/>
          <w:sz w:val="18"/>
        </w:rPr>
        <w:t>Schwietering J et al.  ·  BMJ Health Care Inform  ·  11.08.2026  ·  PMID 42580812</w:t>
      </w:r>
    </w:p>
    <w:p>
      <w:r>
        <w:t>Entwicklung und Validierung des cpgQA-DE-Benchmarks mit 200 Fragen aus 10 deutschen Fachleitlinien; Evaluierung von LLMs mit Retrieval-Augmented Generation.</w:t>
      </w:r>
    </w:p>
    <w:p>
      <w:r>
        <w:rPr>
          <w:b/>
        </w:rPr>
        <w:t xml:space="preserve">Ergebnis: </w:t>
      </w:r>
      <w:r>
        <w:t>Best-Performing-Kombination (GPT-5 + multilingual-e5-large) erreichte 95% Genauigkeit; Open-Weight-Modell gpt-oss-120b mit RAG erzielte 90% Genauigkeit. RAG verbesserte Leistung über alle Modelle hinweg deutlich.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Leitlinien und Kontext; direkt auf hiesige CDSS-Anforderungen übertragbar.</w:t>
      </w:r>
    </w:p>
    <w:p>
      <w:r>
        <w:rPr>
          <w:color w:val="5A7D3A"/>
          <w:sz w:val="18"/>
        </w:rPr>
        <w:t>https://pubmed.ncbi.nlm.nih.gov/42580812/</w:t>
      </w:r>
    </w:p>
    <w:p>
      <w:pPr>
        <w:pStyle w:val="Heading1"/>
      </w:pPr>
      <w:r>
        <w:t>Aufgenommen am 17.08.2026</w:t>
      </w:r>
    </w:p>
    <w:p>
      <w:pPr>
        <w:pStyle w:val="Heading2"/>
      </w:pPr>
      <w:r>
        <w:t>KI-Training über fünf Kliniken hinweg, ohne Patientendaten zu teilen: was der Datenschutz an Genauigkeit kostet</w:t>
      </w:r>
    </w:p>
    <w:p>
      <w:r>
        <w:rPr>
          <w:i/>
          <w:color w:val="666666"/>
          <w:sz w:val="18"/>
        </w:rPr>
        <w:t>Sheikhalishahi S et al.  ·  JMIR Med Inform  ·  14.08.2026  ·  PMID 42600153</w:t>
      </w:r>
    </w:p>
    <w:p>
      <w:r>
        <w:t>Vergleich dreier Trainingsverfahren an 24.521 Intensivpatienten aus fünf Datenbanken, darunter das Universitätsklinikum Augsburg, alle überführt in das OMOP-Datenmodell — die Frage ist nicht die Beatmung, sondern ob föderiertes Lernen das Zusammenlegen von Behandlungsdaten ersetzen kann.</w:t>
      </w:r>
    </w:p>
    <w:p>
      <w:r>
        <w:rPr>
          <w:b/>
        </w:rPr>
        <w:t xml:space="preserve">Ergebnis: </w:t>
      </w:r>
      <w:r>
        <w:t>Zentrales Training auf zusammengelegten Daten erreichte AUROC 0,81, föderiertes Lernen ohne Weitergabe von Patientendaten 0,74, rein lokales Training je nach Haus 0,68 bis 0,84. Der Abstand ist damit beziffert: rund sieben AUROC-Punkte — und Häuser mit guter eigener Datenlage verlieren durch die Föderation sogar. Die Autoren betonen, dass sie den Datenschutzgewinn nicht gemessen haben; die Zahlen sind ein Leistungsvergleich, keine Abwägung.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Schweizer Intensivdaten im OMOP-Modell, MII-Strukturen vergleichbar</w:t>
      </w:r>
    </w:p>
    <w:p>
      <w:r>
        <w:rPr>
          <w:color w:val="5A7D3A"/>
          <w:sz w:val="18"/>
        </w:rPr>
        <w:t>https://pubmed.ncbi.nlm.nih.gov/42600153/</w:t>
      </w:r>
    </w:p>
    <w:p>
      <w:pPr>
        <w:pStyle w:val="Heading2"/>
      </w:pPr>
      <w:r>
        <w:t>Reanimations-App im Simulationsversuch: kein Vorteil bei erfahrenen Teams</w:t>
      </w:r>
    </w:p>
    <w:p>
      <w:r>
        <w:rPr>
          <w:i/>
          <w:color w:val="666666"/>
          <w:sz w:val="18"/>
        </w:rPr>
        <w:t>Kamphausen A et al.  ·  Scand J Trauma Resusc Emerg Med  ·  12.08.2026  ·  PMID 42596010</w:t>
      </w:r>
    </w:p>
    <w:p>
      <w:r>
        <w:t>Randomisierte Machbarkeitsstudie mit 40 interprofessionellen Zweierteams (80 Teilnehmende) an einem Nürnberger Klinikum, die den innerklinischen Herzstillstand mit und ohne die App CPR Leader durchspielten.</w:t>
      </w:r>
    </w:p>
    <w:p>
      <w:r>
        <w:rPr>
          <w:b/>
        </w:rPr>
        <w:t xml:space="preserve">Ergebnis: </w:t>
      </w:r>
      <w:r>
        <w:t>Die Arbeitsbelastung (NASA-TLX) lag mit 49,2 ± 13,6 gegenüber 54,1 ± 14,6 Punkten ohne belastbaren Unterschied (p = 0,2) — mit mehr Anstrengung in der App-Gruppe und mehr Frustration in der Kontrollgruppe. Teamleistung, nichttechnische Fertigkeiten und alle Reanimationskennzahlen blieben gleich; in der Kontrollgruppe begann die Thoraxkompression bei Kammerflimmern sogar früher. Die Autoren führen das auf die hohe Erfahrung der Teilnehmenden zurück.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Klinikum, Simulation — auf ungeübte Teams nicht übertragbar</w:t>
      </w:r>
    </w:p>
    <w:p>
      <w:r>
        <w:rPr>
          <w:color w:val="5A7D3A"/>
          <w:sz w:val="18"/>
        </w:rPr>
        <w:t>https://pubmed.ncbi.nlm.nih.gov/42596010/</w:t>
      </w:r>
    </w:p>
    <w:p>
      <w:pPr>
        <w:pStyle w:val="Heading2"/>
      </w:pPr>
      <w:r>
        <w:t>KI-optimierte Diagnosepfade bei chronischer Atemnot: welche Untersuchung sich zuerst lohnt</w:t>
      </w:r>
    </w:p>
    <w:p>
      <w:r>
        <w:rPr>
          <w:i/>
          <w:color w:val="666666"/>
          <w:sz w:val="18"/>
        </w:rPr>
        <w:t>Olsson M et al.  ·  NPJ Prim Care Respir Med  ·  13.08.2026  ·  PMID 42595763</w:t>
      </w:r>
    </w:p>
    <w:p>
      <w:r>
        <w:t>Aus schwedischen Bevölkerungsdaten entwickeltes Reinforcement-Learning-Modell, das für 16 mögliche Ursachen von Atemnot die kostengünstigste Untersuchungsreihenfolge bestimmt.</w:t>
      </w:r>
    </w:p>
    <w:p>
      <w:r>
        <w:rPr>
          <w:b/>
        </w:rPr>
        <w:t xml:space="preserve">Ergebnis: </w:t>
      </w:r>
      <w:r>
        <w:t>Das Modell setzt durchgehend einfache und billige Schritte an den Anfang: Body-Mass-Index, Angst- und Depressionsscreening, körperliche Aktivität und Spirometrie, erst danach Diffusionskapazität, CT-Thorax und Hämoglobin. Die Lunge wird vor dem Herzen abgeklärt. Die Reihenfolge war über Geschlecht und Rauchstatus hinweg weitgehend gleich — die Personalisierung brachte weniger als die Sequenzierung.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steuerfinanziert — Kostengewichte hierzulande anders, Reihenfolge nicht</w:t>
      </w:r>
    </w:p>
    <w:p>
      <w:r>
        <w:rPr>
          <w:color w:val="5A7D3A"/>
          <w:sz w:val="18"/>
        </w:rPr>
        <w:t>https://pubmed.ncbi.nlm.nih.gov/42595763/</w:t>
      </w:r>
    </w:p>
    <w:p>
      <w:pPr>
        <w:pStyle w:val="Heading2"/>
      </w:pPr>
      <w:r>
        <w:t>Zwölf Monate App-Nutzung nach gynäkologischer Krebserkrankung: wer dabeibleibt und wer nicht</w:t>
      </w:r>
    </w:p>
    <w:p>
      <w:r>
        <w:rPr>
          <w:i/>
          <w:color w:val="666666"/>
          <w:sz w:val="18"/>
        </w:rPr>
        <w:t>Fosstveit SH et al.  ·  JMIR Mhealth Uhealth  ·  13.08.2026  ·  PMID 42594257</w:t>
      </w:r>
    </w:p>
    <w:p>
      <w:r>
        <w:t>Auswertung der Server-Protokolle von 378 Frauen aus fünf norwegischen Kliniken, denen im Rahmen der regulären Nachsorge eine Bewegungs-App samt Aktivitätsmesser angeboten wurde.</w:t>
      </w:r>
    </w:p>
    <w:p>
      <w:r>
        <w:rPr>
          <w:b/>
        </w:rPr>
        <w:t xml:space="preserve">Ergebnis: </w:t>
      </w:r>
      <w:r>
        <w:t>272 von 378 (72 Prozent) protokollierten mindestens zwei Wochen, 225 (60 Prozent) übertrugen Schrittdaten; im Mittel 5.657 Schritte täglich. Die Nutzung brach um die Wochen 16, 32 und 44 ein, erholte sich aber binnen drei Wochen — Aussetzer statt Abbruch. Nutzerinnen waren im Schnitt 6,7 Jahre jünger (95%-KI −9,6 bis −3,9), häufiger berufstätig und höher gebildet als Nichtnutzerinnen.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Regelversorgung — Bildungsgefälle der Nutzung dürfte hier ebenso auftreten</w:t>
      </w:r>
    </w:p>
    <w:p>
      <w:r>
        <w:rPr>
          <w:color w:val="5A7D3A"/>
          <w:sz w:val="18"/>
        </w:rPr>
        <w:t>https://pubmed.ncbi.nlm.nih.gov/42594257/</w:t>
      </w:r>
    </w:p>
    <w:p>
      <w:pPr>
        <w:pStyle w:val="Heading2"/>
      </w:pPr>
      <w:r>
        <w:t>Registerdaten statt Bauchgefühl: maschinelle Gruppierung von 106.490 Hautkrebspatienten</w:t>
      </w:r>
    </w:p>
    <w:p>
      <w:r>
        <w:rPr>
          <w:i/>
          <w:color w:val="666666"/>
          <w:sz w:val="18"/>
        </w:rPr>
        <w:t>Sieborg J et al.  ·  Acta Derm Venereol  ·  13.08.2026  ·  PMID 42593153</w:t>
      </w:r>
    </w:p>
    <w:p>
      <w:r>
        <w:t>Machine-Learning-Phänomapping des dänischen Hautkrebsregisters (2014 bis 2022) mit dem Ziel, für die Versorgungsplanung unterscheidbare Patientengruppen zu finden.</w:t>
      </w:r>
    </w:p>
    <w:p>
      <w:r>
        <w:rPr>
          <w:b/>
        </w:rPr>
        <w:t xml:space="preserve">Ergebnis: </w:t>
      </w:r>
      <w:r>
        <w:t>Sieben Cluster: eines mit 23.590 Personen (22,2 Prozent) jung, gebildet, einkommensstark, medizinisch unkompliziert, mit risikoarmen Basalzellkarzinomen; vier Cluster mit 58.736 Personen (55,2 Prozent) höherer dermatologischer Krankheitslast; zwei Cluster mit 24.164 Personen (22,7 Prozent) stark komorbid und immunsupprimiert. Der Ressourcenbedarf unterscheidet sich zwischen diesen Gruppen erheblich — ein Argument für differenzierte Versorgungspfade statt eines Pfades für alle.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Dänisches Register, ambulante Dermatologie — Datenlage hierzulande schlechter</w:t>
      </w:r>
    </w:p>
    <w:p>
      <w:r>
        <w:rPr>
          <w:color w:val="5A7D3A"/>
          <w:sz w:val="18"/>
        </w:rPr>
        <w:t>https://pubmed.ncbi.nlm.nih.gov/42593153/</w:t>
      </w:r>
    </w:p>
    <w:p>
      <w:pPr>
        <w:pStyle w:val="Heading2"/>
      </w:pPr>
      <w:r>
        <w:t>Dreißig Jahre telemedizinische Versorgung auf See: was Dauerbetrieb bewirkt</w:t>
      </w:r>
    </w:p>
    <w:p>
      <w:r>
        <w:rPr>
          <w:i/>
          <w:color w:val="666666"/>
          <w:sz w:val="18"/>
        </w:rPr>
        <w:t>Biesenbach P et al.  ·  Dan Med J  ·  04.06.2026  ·  PMID 42592762</w:t>
      </w:r>
    </w:p>
    <w:p>
      <w:r>
        <w:t>Retrospektive Kohortenstudie über sämtliche Beratungen des dänischen Funkarztdienstes Radio Medical Danmark von 1995 bis 2024.</w:t>
      </w:r>
    </w:p>
    <w:p>
      <w:r>
        <w:rPr>
          <w:b/>
        </w:rPr>
        <w:t xml:space="preserve">Ergebnis: </w:t>
      </w:r>
      <w:r>
        <w:t>49.999 versorgte Seeleute; die Zahl der Beratungen stieg von 240 (1995) auf 4.829 (2024). Der Anteil der Fälle, die eine Ausschiffung oder Evakuierung erforderten, sank von über 10 auf rund 5 Prozent. Häufigste Anlässe: Muskel-Skelett-Beschwerden (18,8 Prozent), Hauterkrankungen (14,6 Prozent), Bauchbeschwerden (11,5 Prozent). Die Halbierung der Evakuierungsquote ist der eigentliche Befund — Telemedizin ersetzt hier nicht Nähe, sondern Transport.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zentralisiert an einer Notaufnahme — Modell für Fernversorgung generell</w:t>
      </w:r>
    </w:p>
    <w:p>
      <w:r>
        <w:rPr>
          <w:color w:val="5A7D3A"/>
          <w:sz w:val="18"/>
        </w:rPr>
        <w:t>https://pubmed.ncbi.nlm.nih.gov/42592762/</w:t>
      </w:r>
    </w:p>
    <w:p>
      <w:pPr>
        <w:pStyle w:val="Heading2"/>
      </w:pPr>
      <w:r>
        <w:t>Dezentralisierte Studien zu seltenen Erkrankungen mit sekundären Gesundheitsdaten in Deutschland</w:t>
      </w:r>
    </w:p>
    <w:p>
      <w:r>
        <w:rPr>
          <w:i/>
          <w:color w:val="666666"/>
          <w:sz w:val="18"/>
        </w:rPr>
        <w:t>Zoch M et al.  ·  BMC Med Inform Decis Mak  ·  12.08.2026  ·  PMID 42587293</w:t>
      </w:r>
    </w:p>
    <w:p>
      <w:r>
        <w:t>CORD-MI-Projekt führt dezentralisierte Analysen zu Cystischer Fibrose, Phenylketonurie und Kawasaki-Syndrom durch, nutzt Routinedaten aus 20 deutschen Unikliniken ohne zentralisierte Datenzusammenführung.</w:t>
      </w:r>
    </w:p>
    <w:p>
      <w:r>
        <w:rPr>
          <w:b/>
        </w:rPr>
        <w:t xml:space="preserve">Ergebnis: </w:t>
      </w:r>
      <w:r>
        <w:t>Ergebnisse von bis zu 17 Zentren erreicht; identifiziert Hürden: Kodierungsungenauigkeiten für seltene Erkrankungen, Informationsverlust durch Maskierung, Verzerrungen im Gesundheitsprozess; zeigt Machbarkeit decentraler Forschung bei seltenen Erkrankungen.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Unikliniken, medizininformatik-initiative Standard, direkt auf deutsches Gesundheitssystem anwendbar.</w:t>
      </w:r>
    </w:p>
    <w:p>
      <w:r>
        <w:rPr>
          <w:color w:val="5A7D3A"/>
          <w:sz w:val="18"/>
        </w:rPr>
        <w:t>https://pubmed.ncbi.nlm.nih.gov/42587293/</w:t>
      </w:r>
    </w:p>
    <w:p>
      <w:pPr>
        <w:pStyle w:val="Heading2"/>
      </w:pPr>
      <w:r>
        <w:t>Elektronische Patientenberichte (ePRO) zur Therapiebereitschaftsprüfung in der Lungenkrebsbehandlung</w:t>
      </w:r>
    </w:p>
    <w:p>
      <w:r>
        <w:rPr>
          <w:i/>
          <w:color w:val="666666"/>
          <w:sz w:val="18"/>
        </w:rPr>
        <w:t>Scheel-Hincke LL et al.  ·  Qual Life Res  ·  12.08.2026  ·  PMID 42584738</w:t>
      </w:r>
    </w:p>
    <w:p>
      <w:r>
        <w:t>Implementierungsstudie an dänischem Onkologiezentrum evaluiert ein ePRO-System als Ersatz für Telefonkontakte vor Chemotherapie mit Mixed-Methods-Design und RE-AIM-Framework.</w:t>
      </w:r>
    </w:p>
    <w:p>
      <w:r>
        <w:rPr>
          <w:b/>
        </w:rPr>
        <w:t xml:space="preserve">Ergebnis: </w:t>
      </w:r>
      <w:r>
        <w:t>Fragebogen-Compliance stieg von 17,7% auf 76,3%; Pflegepersonal sparte etwa 6 Minuten pro Behandlung; 704 Patienten mit 6.134 abgeschlossenen Fragebögen; Patienten und Personal bewerteten das System als sinnvoll und akzeptabel.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 höherer Digitalisierungsgrad, aber ähnliche Versorgungsstruktur; Befunde auf deutsche Onkologie übertragbar.</w:t>
      </w:r>
    </w:p>
    <w:p>
      <w:r>
        <w:rPr>
          <w:color w:val="5A7D3A"/>
          <w:sz w:val="18"/>
        </w:rPr>
        <w:t>https://pubmed.ncbi.nlm.nih.gov/42584738/</w:t>
      </w:r>
    </w:p>
    <w:p>
      <w:pPr>
        <w:pStyle w:val="Heading2"/>
      </w:pPr>
      <w:r>
        <w:t>ePRO-basierte digitale Plattform mit Serious Game in pädiatrischer Onkologie und Palliativmedizin</w:t>
      </w:r>
    </w:p>
    <w:p>
      <w:r>
        <w:rPr>
          <w:i/>
          <w:color w:val="666666"/>
          <w:sz w:val="18"/>
        </w:rPr>
        <w:t>Meyerheim M et al.  ·  JMIR Cancer  ·  11.08.2026  ·  PMID 42579605</w:t>
      </w:r>
    </w:p>
    <w:p>
      <w:r>
        <w:t>Multizentrisches Machbarkeitsstudium an 3 Standorten (Deutschland, Tschechien) testet Akzeptanz und Engagement einer ePRO-Plattform mit Gamification für 83 Kinder und Jugendliche mit Krebs und 10 Fachpersonen.</w:t>
      </w:r>
    </w:p>
    <w:p>
      <w:r>
        <w:rPr>
          <w:b/>
        </w:rPr>
        <w:t xml:space="preserve">Ergebnis: </w:t>
      </w:r>
      <w:r>
        <w:t>Rekrutierungsrate 55%, Abbruchquote 18%, hohe Usability-Bewertung; Engagement nahm über Zeit ab, besonders bei älteren Kindern; Patienten zeigten höhere Motivation bei Rückmeldungen durch Fachpersonen.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Tschechien, EU-Setting, vergleichbare pädiatrisch-onkologische Standards.</w:t>
      </w:r>
    </w:p>
    <w:p>
      <w:r>
        <w:rPr>
          <w:color w:val="5A7D3A"/>
          <w:sz w:val="18"/>
        </w:rPr>
        <w:t>https://pubmed.ncbi.nlm.nih.gov/42579605/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2026-08-22T06:00:00Z</dcterms:created>
  <dcterms:modified xsi:type="dcterms:W3CDTF">2026-08-22T06:00:00Z</dcterms:modified>
  <cp:category/>
</cp:coreProperties>
</file>