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27.08.2026  |  6 Studien  |  ki.m-vf.de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KI-gestützte Sprache in der Ambulanz: Patientenakzeptanz und Vertrauen</w:t>
      </w:r>
    </w:p>
    <w:p>
      <w:r>
        <w:rPr>
          <w:i/>
          <w:color w:val="666666"/>
          <w:sz w:val="18"/>
        </w:rPr>
        <w:t>Nguyen OT et al.  ·  Appl Clin Inform  ·  26.08.2026  ·  PMID 42648708</w:t>
      </w:r>
    </w:p>
    <w:p>
      <w:r>
        <w:t>Gemischte Methoden-Sekundäranalyse von 20 Patienten nach Implementierung von Ambient-AI-Scribing in der Klinik zur Untersuchung von Akzeptanzfaktoren und Vertrauen in KI-Systeme.</w:t>
      </w:r>
    </w:p>
    <w:p>
      <w:r>
        <w:rPr>
          <w:b/>
        </w:rPr>
        <w:t xml:space="preserve">Ergebnis: </w:t>
      </w:r>
      <w:r>
        <w:t>60 % der Patienten hatten moderates Vertrauen in KI; Akzeptanz beeinflusst durch ethische Unbedenklichkeit, positive emotionale Einstellung, minimale Patientenbelastung, wahrgenommene Nutzen und Kohärenz der Intervention. Minimalste Unterschiede in Akzeptanzfaktoren zwischen Vertrauensgruppen. Patienten forderten robuste Aufklärung und Vorabmitteilung vor 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Implementierungs- und Designempfehlungen für europäische Kliniken anwendbar</w:t>
      </w:r>
    </w:p>
    <w:p>
      <w:r>
        <w:rPr>
          <w:color w:val="5A7D3A"/>
          <w:sz w:val="18"/>
        </w:rPr>
        <w:t>https://pubmed.ncbi.nlm.nih.gov/42648708/</w:t>
      </w:r>
    </w:p>
    <w:p>
      <w:pPr>
        <w:pStyle w:val="Heading2"/>
      </w:pPr>
      <w:r>
        <w:t>Elektronische Überwachung kontrollierter Substanzen: Nutzerverhalten nach Systemeinführung in Klinik</w:t>
      </w:r>
    </w:p>
    <w:p>
      <w:r>
        <w:rPr>
          <w:i/>
          <w:color w:val="666666"/>
          <w:sz w:val="18"/>
        </w:rPr>
        <w:t>Häkkinen A et al.  ·  J Med Internet Res  ·  26.08.2026  ·  PMID 42647071</w:t>
      </w:r>
    </w:p>
    <w:p>
      <w:r>
        <w:t>Querschnittsstudie mit 599 Befragten (87 % Pflegende, 9 % Apotheker) in einem finnischen Uniklinikum zur Nutzererfahrung mit elektronischem Narkotikakartensystem (eNCC) statt Papierdokumentation, 6 Jahre nach Systemeinführung.</w:t>
      </w:r>
    </w:p>
    <w:p>
      <w:r>
        <w:rPr>
          <w:b/>
        </w:rPr>
        <w:t xml:space="preserve">Ergebnis: </w:t>
      </w:r>
      <w:r>
        <w:t>80,9 % der Befragten lehnen Rückkehr zu Papierprozessen ab. 84,9 % bewerteten das System als mühelos für feste Darreichungsformen, 72,3 % für flüssige. Nach Einführung führten Pflegende und Apotheker mehr Untersuchungen und Fehlerkorektionen durch; dieser Anteil sank über Zeit. Unterschiede zwischen Berufsgruppen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skandinavisches Gesundheitssystem und Digitalisierungsgrad</w:t>
      </w:r>
    </w:p>
    <w:p>
      <w:r>
        <w:rPr>
          <w:color w:val="5A7D3A"/>
          <w:sz w:val="18"/>
        </w:rPr>
        <w:t>https://pubmed.ncbi.nlm.nih.gov/42647071/</w:t>
      </w:r>
    </w:p>
    <w:p>
      <w:pPr>
        <w:pStyle w:val="Heading2"/>
      </w:pPr>
      <w:r>
        <w:t>KI-gestützte Vorhersage von Schwangerschaftskomplikationen in drei Bevölkerungen: Schweiz, Chile, Singapur</w:t>
      </w:r>
    </w:p>
    <w:p>
      <w:r>
        <w:rPr>
          <w:i/>
          <w:color w:val="666666"/>
          <w:sz w:val="18"/>
        </w:rPr>
        <w:t>Li S et al.  ·  J Med Internet Res  ·  26.08.2026  ·  PMID 42644847</w:t>
      </w:r>
    </w:p>
    <w:p>
      <w:r>
        <w:t>Retrospektive Studie mit über 700.000 Schwangerschaften aus Schweden, Chile und Singapur zur Entwicklung von Machine-Learning-Modellen für die Frühdiagnostik ungünstiger mütterlicher und neonataler Ergebnisse mittels Daten bis 14. Schwangerschaftswoche.</w:t>
      </w:r>
    </w:p>
    <w:p>
      <w:r>
        <w:rPr>
          <w:b/>
        </w:rPr>
        <w:t xml:space="preserve">Ergebnis: </w:t>
      </w:r>
      <w:r>
        <w:t>Das LightGBM-Modell erreichte AUROC-Werte von 0,65 in allen drei Populationen, gegenüber 0,53–0,56 für routinemäßige klinische Risikobewertungen (p&lt;0,05). Bei 50 % Falsch-Positive-Rate erreichte das Modell 69,17 % Sensitivität für Schweden, 69,62 % für Chile und 64,93 % für Singapur. Soziodemografische Variablen zählten zu den wichtigsten 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Nachweise aus skandinavischen und asiatischen Daten, teilweise erhöhter Digitalisierungsgrad als Deutschland</w:t>
      </w:r>
    </w:p>
    <w:p>
      <w:r>
        <w:rPr>
          <w:color w:val="5A7D3A"/>
          <w:sz w:val="18"/>
        </w:rPr>
        <w:t>https://pubmed.ncbi.nlm.nih.gov/42644847/</w:t>
      </w:r>
    </w:p>
    <w:p>
      <w:pPr>
        <w:pStyle w:val="Heading2"/>
      </w:pPr>
      <w:r>
        <w:t>Nationale interoperable Datenbasis für seltene Augenkrankheiten (FREDD) – Aufbau und erste Ergebnisse</w:t>
      </w:r>
    </w:p>
    <w:p>
      <w:r>
        <w:rPr>
          <w:i/>
          <w:color w:val="666666"/>
          <w:sz w:val="18"/>
        </w:rPr>
        <w:t>Beluffi Marin C et al.  ·  JMIR Med Inform  ·  25.08.2026  ·  PMID 42642992</w:t>
      </w:r>
    </w:p>
    <w:p>
      <w:r>
        <w:t>Französische Implementierungsstudie zum Aufbau einer regulatorisch konformen, zentralisierten Datenbank für seltene Augenkrankheiten unter INSERM-Aufsicht, mit dynamischen elektronischen Fallberichten und standardisierter Bildverarbeitung.</w:t>
      </w:r>
    </w:p>
    <w:p>
      <w:r>
        <w:rPr>
          <w:b/>
        </w:rPr>
        <w:t xml:space="preserve">Ergebnis: </w:t>
      </w:r>
      <w:r>
        <w:t>Seit März 2025 erfolgreich Daten von 1.649 Patienten mit Retinitis pigmentosa integriert (20,3 % aller landesweiten RP-Fälle), über 10.000 ophthalmologische Bilder erfasst, Datenkonsistenzrate 93 % (7 % Inkonsistenzen durch logische Abhängigkeiten), 36,7 % der Patienten mit assoziierter Bildgebung. PP-LLM-Einsatz für zukünftige KI-Lesbarkeit vorbereitet.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EU-Datenschutzrahmen und ähnliche Regulatory Affairs wie Deutschland</w:t>
      </w:r>
    </w:p>
    <w:p>
      <w:r>
        <w:rPr>
          <w:color w:val="5A7D3A"/>
          <w:sz w:val="18"/>
        </w:rPr>
        <w:t>https://pubmed.ncbi.nlm.nih.gov/42642992/</w:t>
      </w:r>
    </w:p>
    <w:p>
      <w:pPr>
        <w:pStyle w:val="Heading2"/>
      </w:pPr>
      <w:r>
        <w:t>Erklärbare KI enthüllt Schlüsselfaktoren bei robotergestützter und offener Prostatektomie</w:t>
      </w:r>
    </w:p>
    <w:p>
      <w:r>
        <w:rPr>
          <w:i/>
          <w:color w:val="666666"/>
          <w:sz w:val="18"/>
        </w:rPr>
        <w:t>Klein CR et al.  ·  Sci Rep  ·  26.08.2026  ·  PMID 42642558</w:t>
      </w:r>
    </w:p>
    <w:p>
      <w:r>
        <w:t>Retrospektive deutsche Kohortenstudie mit 326 Patienten (224 robotergestützt, 102 offen) zur Vorhersage 12 postoperativer Ergebnisse mittels Machine Learning und SHAP-Explainability-Analyse.</w:t>
      </w:r>
    </w:p>
    <w:p>
      <w:r>
        <w:rPr>
          <w:b/>
        </w:rPr>
        <w:t xml:space="preserve">Ergebnis: </w:t>
      </w:r>
      <w:r>
        <w:t>Machine-Learning-Modelle erreichten beste Leistung für postoperatives Hämoglobin (R² bis 0,57) und Entscheidung zu Gefrierschnitten (AUC bis 0,89). SHAP-Analyse zeigte: prozedurale Parameter (Katheterliege-Zeit, Aufenthalt) wurden fast ausschließlich durch Operationsansatz erklärt; pathologische Outcomes (ISUP-Grad) durch präoperative Tumorcharakteristika. Präoperatives Hämoglobin war stärkerer Prädiktor für postoperative Anämie als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direkt auf deutsche Kliniken übertragbar</w:t>
      </w:r>
    </w:p>
    <w:p>
      <w:r>
        <w:rPr>
          <w:color w:val="5A7D3A"/>
          <w:sz w:val="18"/>
        </w:rPr>
        <w:t>https://pubmed.ncbi.nlm.nih.gov/42642558/</w:t>
      </w:r>
    </w:p>
    <w:p>
      <w:pPr>
        <w:pStyle w:val="Heading2"/>
      </w:pPr>
      <w:r>
        <w:t>Digitale Gesundheitsanwendungen nach Sozioökonomie: Ungleichheit in Nutzung und Akzeptanz</w:t>
      </w:r>
    </w:p>
    <w:p>
      <w:r>
        <w:rPr>
          <w:i/>
          <w:color w:val="666666"/>
          <w:sz w:val="18"/>
        </w:rPr>
        <w:t>Standaar LMB et al.  ·  Inquiry  ·  25.08.2026  ·  PMID 42641147</w:t>
      </w:r>
    </w:p>
    <w:p>
      <w:r>
        <w:t>Querschnittsstudie mit 1.517 niederländischen Patienten mit chronischen Erkrankungen zur Untersuchung von Unterschieden in der Nutzung von fünf eHealth-Anwendungstypen zwischen Bildungsgruppen.</w:t>
      </w:r>
    </w:p>
    <w:p>
      <w:r>
        <w:rPr>
          <w:b/>
        </w:rPr>
        <w:t xml:space="preserve">Ergebnis: </w:t>
      </w:r>
      <w:r>
        <w:t>Personen mit niedrigerem Bildungsgrad nutzten signifikant weniger Websites (OR 4,78; 95% KI 3,50–6,53), Apps (OR 2,88), Wearables (OR 2,12) und Patientenportale (OR 3,24). Höhere Bildung assoziiert mit größerer Neigung zu eHealth-Nutzung (RRR 2,21) und weniger Unsicherheit (RRR 0,56). Digitale Versorgung erreicht nicht alle Patienten gleich.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Governance wie Deutschland</w:t>
      </w:r>
    </w:p>
    <w:p>
      <w:r>
        <w:rPr>
          <w:color w:val="5A7D3A"/>
          <w:sz w:val="18"/>
        </w:rPr>
        <w:t>https://pubmed.ncbi.nlm.nih.gov/42641147/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