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17.09.2026  |  6 Studien  |  ki.m-vf.de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Implementierungsleitlinien für digitale Technologien in der häuslichen Altenpflege</w:t>
      </w:r>
    </w:p>
    <w:p>
      <w:r>
        <w:rPr>
          <w:i/>
          <w:color w:val="666666"/>
          <w:sz w:val="18"/>
        </w:rPr>
        <w:t>Batchelor F et al.  ·  JMIR Form Res  ·  16.09.2026  ·  PMID 42748485</w:t>
      </w:r>
    </w:p>
    <w:p>
      <w:r>
        <w:t>Mixed-Methods-Studie mit Literaturreview, Umfragen (Patienten, Fachpersonen), Interviews (n=49), Co-Design-Workshop und Fallstudie zur Entwicklung von Implementierungsrichtlinien für Australiens häusliche Altenpflege.</w:t>
      </w:r>
    </w:p>
    <w:p>
      <w:r>
        <w:rPr>
          <w:b/>
        </w:rPr>
        <w:t xml:space="preserve">Ergebnis: </w:t>
      </w:r>
      <w:r>
        <w:t>Identifiziert wurden 7 Schlüsseldomänen und 19 Subthemen: Technologiedesign, Datenschutz/Vertrauen, Schulung/Support, Organisationskultur, Patientenpflege, digitale Kompetenz und wahrgenommene Vorteile. Jedes Subthema erhielt Enabler, Barrieren und praktische Implementierungstipps. Fallstudie mit Smart Glasses validierte Anwendbarkeit der Richtlinien.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Australisches System, ähnliche Sozialversicherung wie Skandinavien, kulturelle Unterschiede zu Deutschland</w:t>
      </w:r>
    </w:p>
    <w:p>
      <w:r>
        <w:rPr>
          <w:color w:val="5A7D3A"/>
          <w:sz w:val="18"/>
        </w:rPr>
        <w:t>https://pubmed.ncbi.nlm.nih.gov/42748485/</w:t>
      </w:r>
    </w:p>
    <w:p>
      <w:pPr>
        <w:pStyle w:val="Heading2"/>
      </w:pPr>
      <w:r>
        <w:t>Hybrid Neural Networks für dynamische Mortalitätsprognose bei Traumapatienten</w:t>
      </w:r>
    </w:p>
    <w:p>
      <w:r>
        <w:rPr>
          <w:i/>
          <w:color w:val="666666"/>
          <w:sz w:val="18"/>
        </w:rPr>
        <w:t>Millarch AS et al.  ·  J Med Internet Res  ·  16.09.2026  ·  PMID 42748424</w:t>
      </w:r>
    </w:p>
    <w:p>
      <w:r>
        <w:t>Entwicklung und Evaluation eines KI-Modells aus dänischen Klinikdaten zur kontinuierlichen Vorhersage der 30-Tage-Mortalität bei Traumapatienten über den gesamten Behandlungsverlauf.</w:t>
      </w:r>
    </w:p>
    <w:p>
      <w:r>
        <w:rPr>
          <w:b/>
        </w:rPr>
        <w:t xml:space="preserve">Ergebnis: </w:t>
      </w:r>
      <w:r>
        <w:t>Das Modell erreichte bei der Holdout-Evaluation eine AUROC von 0,962 (95% KI 0,930–0,994) und übertraf etablierte Trauma-Scores (Revised Trauma Score: mittlere ΔAUROC +0,297). In der aktiven Kohorte zeigte es bereits eine Stunde nach Patientenkontakt eine AUROC von 0,905 (95% KI 0,856–0,953).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Klinikdaten, europäisches Gesundheitssystem, direkt übertragbar</w:t>
      </w:r>
    </w:p>
    <w:p>
      <w:r>
        <w:rPr>
          <w:color w:val="5A7D3A"/>
          <w:sz w:val="18"/>
        </w:rPr>
        <w:t>https://pubmed.ncbi.nlm.nih.gov/42748424/</w:t>
      </w:r>
    </w:p>
    <w:p>
      <w:pPr>
        <w:pStyle w:val="Heading2"/>
      </w:pPr>
      <w:r>
        <w:t>Machine Learning zur 6-Monats-Mortalitätsprognose in Langzeitpflegeeinrichtungen</w:t>
      </w:r>
    </w:p>
    <w:p>
      <w:r>
        <w:rPr>
          <w:i/>
          <w:color w:val="666666"/>
          <w:sz w:val="18"/>
        </w:rPr>
        <w:t>Tsai YC et al.  ·  JMIR Aging  ·  16.09.2026  ·  PMID 42748398</w:t>
      </w:r>
    </w:p>
    <w:p>
      <w:r>
        <w:t>Entwicklung und temporale externe Validierung eines interpretierbaren Hybrid-XGBoost-Random-Forest-Modells aus Taiwanese Pflegedaten (n=23.901 Training, n=6.216 Validierung 2024).</w:t>
      </w:r>
    </w:p>
    <w:p>
      <w:r>
        <w:rPr>
          <w:b/>
        </w:rPr>
        <w:t xml:space="preserve">Ergebnis: </w:t>
      </w:r>
      <w:r>
        <w:t>Das HybridXGBRF-Modell erzielte in der Trainingskohorte eine interne AUROC von 0,89 (95% KI 0,88–0,89) und bewahrte diese in der temporalen 2024-Validierung (AUROC 0,90, 95% KI 0,89–0,91), Genauigkeit 0,85, F1-Score 0,68. Kalibrierung war akzeptabel, Shapley-Analyse identifizierte häufige Hospitalisierungen, ADL-Beeinträchtigung und Gewichtsverlust als Hauptprädiktoren.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Taiwanese Langzeitpflege-Daten, übertragbar auf europäische Systeme mit ähnlichen Assessmentstrukturen</w:t>
      </w:r>
    </w:p>
    <w:p>
      <w:r>
        <w:rPr>
          <w:color w:val="5A7D3A"/>
          <w:sz w:val="18"/>
        </w:rPr>
        <w:t>https://pubmed.ncbi.nlm.nih.gov/42748398/</w:t>
      </w:r>
    </w:p>
    <w:p>
      <w:pPr>
        <w:pStyle w:val="Heading2"/>
      </w:pPr>
      <w:r>
        <w:t>KI-gestützte Prostatakrebserkennung in MRI: quasi-kontinuierliches Risikoscoring</w:t>
      </w:r>
    </w:p>
    <w:p>
      <w:r>
        <w:rPr>
          <w:i/>
          <w:color w:val="666666"/>
          <w:sz w:val="18"/>
        </w:rPr>
        <w:t>Bayerl N et al.  ·  Cancer Imaging  ·  15.09.2026  ·  PMID 42745323</w:t>
      </w:r>
    </w:p>
    <w:p>
      <w:r>
        <w:t>Validierung eines kommerziellen KI-Algorithmus gegen Biopsieresultate an deutschen Uniklinikdaten zur Detektion klinisch signifikanter Prostatakarzinome.</w:t>
      </w:r>
    </w:p>
    <w:p>
      <w:r>
        <w:rPr>
          <w:b/>
        </w:rPr>
        <w:t xml:space="preserve">Ergebnis: </w:t>
      </w:r>
      <w:r>
        <w:t>Für klinisch signifikante Tumoren (Gleason ≥7) erreichte der KI-Level-of-Suspicion-Score eine AUC von 0,882 (95% KI 0,820–0,943) versus 0,833 für PI-RADS ≥4. Bei Cutoff 81 Sensitivität 94,7%, Spezifität 70,8%. Unterschied zur PI-RADS-Schwelle nicht signifikant (exakter McNemar p=0,063).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 (Erlangen), europäische Standards übertragbar</w:t>
      </w:r>
    </w:p>
    <w:p>
      <w:r>
        <w:rPr>
          <w:color w:val="5A7D3A"/>
          <w:sz w:val="18"/>
        </w:rPr>
        <w:t>https://pubmed.ncbi.nlm.nih.gov/42745323/</w:t>
      </w:r>
    </w:p>
    <w:p>
      <w:pPr>
        <w:pStyle w:val="Heading2"/>
      </w:pPr>
      <w:r>
        <w:t>Explainable-AI-Tool für Immuntherapie-Auswahl bei Lungenkrebs</w:t>
      </w:r>
    </w:p>
    <w:p>
      <w:r>
        <w:rPr>
          <w:i/>
          <w:color w:val="666666"/>
          <w:sz w:val="18"/>
        </w:rPr>
        <w:t>Prelaj A et al.  ·  Nat Med  ·  13.09.2026  ·  PMID 42733093</w:t>
      </w:r>
    </w:p>
    <w:p>
      <w:r>
        <w:t>Prospektive internationale Multimodal-Studie (I3LUNG) mit 2.396 Patienten, die klinische, Blut-, CT-, Pathologie- und Genomdaten mittels Machine Learning integriert zur Vorhersage des Therapieansprechens.</w:t>
      </w:r>
    </w:p>
    <w:p>
      <w:r>
        <w:rPr>
          <w:b/>
        </w:rPr>
        <w:t xml:space="preserve">Ergebnis: </w:t>
      </w:r>
      <w:r>
        <w:t>CB-only Modelle erreichten AUC bis 0,77 im internen Test, Performance sank in externer Validierung auf 0,55–0,72. Im klinischen Usability-Test verbesserten Fachpersonen ihre Vorhersagen signifikant mit dem explainbaren KI-Tool. Multimodale Modelle zeigten höhere Testperformance, aber kein inkrementeller Zusatznutzen in Test und Validierung.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Europäisch-internationale Kohorte, Italien/Spanien/Deutschland/Griechenland</w:t>
      </w:r>
    </w:p>
    <w:p>
      <w:r>
        <w:rPr>
          <w:color w:val="5A7D3A"/>
          <w:sz w:val="18"/>
        </w:rPr>
        <w:t>https://pubmed.ncbi.nlm.nih.gov/42733093/</w:t>
      </w:r>
    </w:p>
    <w:p>
      <w:pPr>
        <w:pStyle w:val="Heading2"/>
      </w:pPr>
      <w:r>
        <w:t>Klinische Entscheidungsunterstützung zur Differenzierung von Lyme-Neuroborreliose und Bell-Parese</w:t>
      </w:r>
    </w:p>
    <w:p>
      <w:r>
        <w:rPr>
          <w:i/>
          <w:color w:val="666666"/>
          <w:sz w:val="18"/>
        </w:rPr>
        <w:t>Dos AH et al.  ·  Ticks Tick Borne Dis  ·  01.09.2026  ·  PMID 42679518</w:t>
      </w:r>
    </w:p>
    <w:p>
      <w:r>
        <w:t>Entwicklung und interne Validierung zweier Entscheidungsbäume aus dänischen Kohortendaten (n=683) zur Reduktion unnötiger Lumbalpunktionen bei Fazialisparese.</w:t>
      </w:r>
    </w:p>
    <w:p>
      <w:r>
        <w:rPr>
          <w:b/>
        </w:rPr>
        <w:t xml:space="preserve">Ergebnis: </w:t>
      </w:r>
      <w:r>
        <w:t>Modell mit Serologie erreichte Genauigkeit 0,93, Sensitivität 0,93, Spezifität 0,94 und könnte 40% der Lumbalpunktionen einsparen bei Reduktion der anfangs übersehenen LNB-Fälle auf 8%. Modell ohne Serologie (Radiculalgia, Symptondauer ≥10 Tage) zeigte ähnliche Performance (Genauigkeit 0,93, Sensitivität 0,92, Spezifität 0,93).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Hospitalsdaten, europäische Epidemiologie, externe Validierung geplant</w:t>
      </w:r>
    </w:p>
    <w:p>
      <w:r>
        <w:rPr>
          <w:color w:val="5A7D3A"/>
          <w:sz w:val="18"/>
        </w:rPr>
        <w:t>https://pubmed.ncbi.nlm.nih.gov/42679518/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2026-09-17T06:00:00Z</dcterms:created>
  <dcterms:modified xsi:type="dcterms:W3CDTF">2026-09-17T06:00:00Z</dcterms:modified>
  <cp:category/>
</cp:coreProperties>
</file>