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17.10.2026  |  6 Studien  |  ki.m-vf.de</w:t>
      </w:r>
    </w:p>
    <w:p>
      <w:pPr>
        <w:pStyle w:val="Heading1"/>
      </w:pPr>
      <w:r>
        <w:t>Aufgenommen am 17.10.2026</w:t>
      </w:r>
    </w:p>
    <w:p>
      <w:pPr>
        <w:pStyle w:val="Heading2"/>
      </w:pPr>
      <w:r>
        <w:t>Spracherkennung für Klinikdokumentation: Vergleich dreier Ambient-Listening-Systeme</w:t>
      </w:r>
    </w:p>
    <w:p>
      <w:r>
        <w:rPr>
          <w:i/>
          <w:color w:val="666666"/>
          <w:sz w:val="18"/>
        </w:rPr>
        <w:t>Hoekman AH et al.  ·  JMIR Med Inform  ·  16.10.2026  ·  PMID 42887000</w:t>
      </w:r>
    </w:p>
    <w:p>
      <w:r>
        <w:t>Vergleich von drei kommerziellen KI-Systemen zur automatischen Dokumentation von Arzt-Patienten-Gesprächen im Niederländischen unter verschiedenen Kommunikationsschwierigkeiten.</w:t>
      </w:r>
    </w:p>
    <w:p>
      <w:r>
        <w:rPr>
          <w:b/>
        </w:rPr>
        <w:t xml:space="preserve">Ergebnis: </w:t>
      </w:r>
      <w:r>
        <w:t>Provider 3 erreichte höchste Gesamtscores (4,26/5), Provider 2 (4,00/5), Provider 1 (3,82/5); Korrektheit erzielte höchste Werte (4,21/5), Vollständigkeit niedrigste (3,81/5); Szenarios mit Dialekt zeigten niedrigere Scores (3,77/5); Zusammenfassungszeit 13,5 bis 22 Sekunden. Systeme funktionierten robust, aber mit Variationen bei herausfordernden Szenarien.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 in vergleichbarem europäischem Gesundheitssystem, Anforderungen an mehrsprachige Robustheit übertragbar.</w:t>
      </w:r>
    </w:p>
    <w:p>
      <w:r>
        <w:rPr>
          <w:color w:val="5A7D3A"/>
          <w:sz w:val="18"/>
        </w:rPr>
        <w:t>https://pubmed.ncbi.nlm.nih.gov/42887000/</w:t>
      </w:r>
    </w:p>
    <w:p>
      <w:pPr>
        <w:pStyle w:val="Heading2"/>
      </w:pPr>
      <w:r>
        <w:t>Digitale Harninkontinenz-App: Barrieren und Implementierungsstrategien in der Hausarztpraxis</w:t>
      </w:r>
    </w:p>
    <w:p>
      <w:r>
        <w:rPr>
          <w:i/>
          <w:color w:val="666666"/>
          <w:sz w:val="18"/>
        </w:rPr>
        <w:t>Lambooij AC et al.  ·  Fam Pract  ·  06.10.2026  ·  PMID 42885942</w:t>
      </w:r>
    </w:p>
    <w:p>
      <w:r>
        <w:t>Qualitative Befragung zur Identifikation von Barrieren für die Einführung einer evidenzbasierten Smartphone-App (URinControl) in niederländischen Hausarztpraxen und Apotheken.</w:t>
      </w:r>
    </w:p>
    <w:p>
      <w:r>
        <w:rPr>
          <w:b/>
        </w:rPr>
        <w:t xml:space="preserve">Ergebnis: </w:t>
      </w:r>
      <w:r>
        <w:t>174 Fachkräfte befragt; Hauptbarrieren: Zweifel am Mehrwert der App, unzureichende Kenntnisse über Inkontinenz und App, organisatorische Hürden, geringe digitale Patientenfähigkeiten; in Apotheken zusätzlich: begrenzte Möglichkeiten zur Inkontinenzberatung und Finanzierungssorgen. Fünf tailored Implementierungsstrategien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Primärversorgung, vergleichbare Versicherungsstrukturen und Dokumentationspflichten wie Deutschland.</w:t>
      </w:r>
    </w:p>
    <w:p>
      <w:r>
        <w:rPr>
          <w:color w:val="5A7D3A"/>
          <w:sz w:val="18"/>
        </w:rPr>
        <w:t>https://pubmed.ncbi.nlm.nih.gov/42885942/</w:t>
      </w:r>
    </w:p>
    <w:p>
      <w:pPr>
        <w:pStyle w:val="Heading2"/>
      </w:pPr>
      <w:r>
        <w:t>KI-gestützte Wundgrößenmessung per Telemedizin: Genauigkeit und Arztvergleich</w:t>
      </w:r>
    </w:p>
    <w:p>
      <w:r>
        <w:rPr>
          <w:i/>
          <w:color w:val="666666"/>
          <w:sz w:val="18"/>
        </w:rPr>
        <w:t>Dege T et al.  ·  Int Wound J  ·  Okt. 2026  ·  PMID 42885306</w:t>
      </w:r>
    </w:p>
    <w:p>
      <w:r>
        <w:t>Prospektive Validierungsstudie von zwei Deep-Learning-Segmentierungsmodellen für automatische Wundgrößenmessung aus Fotografien im Vergleich zu ärztlichen Schätzungen und In-Person-Referenzmessungen.</w:t>
      </w:r>
    </w:p>
    <w:p>
      <w:r>
        <w:rPr>
          <w:b/>
        </w:rPr>
        <w:t xml:space="preserve">Ergebnis: </w:t>
      </w:r>
      <w:r>
        <w:t>TransNeXt: ICC Höhe 0,96 (MAE 0,82 cm), Breite ICC 0,86 (MAE 0,69 cm, Bias −0,42 cm); VW-Conv: Höhe ICC 0,95 (MAE 0,68 cm), Breite ICC 0,77 (MAE 0,74 cm). KI konsistenter als einzelne Ärzte, comparable mit Expertenkonsen, nicht überlegen. TransNeXt zeigte stabilere Pixel-Performance (Dice 0,886).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Einzelzentrum-Validierung erforderlich; Konzept für Telemedizin-Wundmonitoring übertragbar.</w:t>
      </w:r>
    </w:p>
    <w:p>
      <w:r>
        <w:rPr>
          <w:color w:val="5A7D3A"/>
          <w:sz w:val="18"/>
        </w:rPr>
        <w:t>https://pubmed.ncbi.nlm.nih.gov/42885306/</w:t>
      </w:r>
    </w:p>
    <w:p>
      <w:pPr>
        <w:pStyle w:val="Heading2"/>
      </w:pPr>
      <w:r>
        <w:t>Machine-Learning-Kostenprognose bei pulmonaler arterieller Hypertonie: Feasibility-Studie</w:t>
      </w:r>
    </w:p>
    <w:p>
      <w:r>
        <w:rPr>
          <w:i/>
          <w:color w:val="666666"/>
          <w:sz w:val="18"/>
        </w:rPr>
        <w:t>Kramer M et al.  ·  JMIR Med Inform  ·  15.10.2026  ·  PMID 42879777</w:t>
      </w:r>
    </w:p>
    <w:p>
      <w:r>
        <w:t>Retrospektive Machbarkeitsstudie zur Kombination von Vorhersage der WHO-Funktionsklasse mit Schätzung der Gesundheitskosten bei PAH-Patienten mittels sechs Machine-Learning-Algorithmen.</w:t>
      </w:r>
    </w:p>
    <w:p>
      <w:r>
        <w:rPr>
          <w:b/>
        </w:rPr>
        <w:t xml:space="preserve">Ergebnis: </w:t>
      </w:r>
      <w:r>
        <w:t>181 PAH-Patienten; beste Performance k-nearest neighbors (r=0,40, R²=0,16), gefolgt LASSO (r=0,30, R²=0,09); geschätzte Durchschnittskosten 12.481–12.614 USD/Patient/Monat; trotz verbesserter Funktionsklasse über 12 Monate Kosten stabil. Moderate Vorhersageleistung, aber Machbarkeit der Kostenintegration demonstriert.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 notwendig; Konzept der systemischen Kostenmodellierung für Policy relevant.</w:t>
      </w:r>
    </w:p>
    <w:p>
      <w:r>
        <w:rPr>
          <w:color w:val="5A7D3A"/>
          <w:sz w:val="18"/>
        </w:rPr>
        <w:t>https://pubmed.ncbi.nlm.nih.gov/42879777/</w:t>
      </w:r>
    </w:p>
    <w:p>
      <w:pPr>
        <w:pStyle w:val="Heading2"/>
      </w:pPr>
      <w:r>
        <w:t>Komorbidität und Ungleichheit: Langzeit-Pfade psychischer und körperlicher Erkrankungen</w:t>
      </w:r>
    </w:p>
    <w:p>
      <w:r>
        <w:rPr>
          <w:i/>
          <w:color w:val="666666"/>
          <w:sz w:val="18"/>
        </w:rPr>
        <w:t>Nguyen T et al.  ·  PLoS One  ·  15.10.2026  ·  PMID 42879447</w:t>
      </w:r>
    </w:p>
    <w:p>
      <w:r>
        <w:t>Multistate-Modellierung von 858.789 schottischen Patienten aus 21 Jahren EHR-Daten zur Analyse von Übergängen in Multimorbidität nach Alter, Geschlecht und sozioökonomischem Status.</w:t>
      </w:r>
    </w:p>
    <w:p>
      <w:r>
        <w:rPr>
          <w:b/>
        </w:rPr>
        <w:t xml:space="preserve">Ergebnis: </w:t>
      </w:r>
      <w:r>
        <w:t>Psychische Erkrankungen (schwer, stationär) zeigten starken Einfluss auf Early-Onset-Multimorbidität, besonders bei jungen Männern und sozioökonomisch benachteiligten Gruppen. Strukturelle Determinanten und integrierte psychisch-somatische Versorgung identifiziert als kritisch.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Daten, ähnliche Sozialversicherungsstruktur; Befunde zur Health Equity in Deutschland anwendbar.</w:t>
      </w:r>
    </w:p>
    <w:p>
      <w:r>
        <w:rPr>
          <w:color w:val="5A7D3A"/>
          <w:sz w:val="18"/>
        </w:rPr>
        <w:t>https://pubmed.ncbi.nlm.nih.gov/42879447/</w:t>
      </w:r>
    </w:p>
    <w:p>
      <w:pPr>
        <w:pStyle w:val="Heading2"/>
      </w:pPr>
      <w:r>
        <w:t>Machine Learning für Sturz-Früherkennung: Test im Alltag älterer Menschen</w:t>
      </w:r>
    </w:p>
    <w:p>
      <w:r>
        <w:rPr>
          <w:i/>
          <w:color w:val="666666"/>
          <w:sz w:val="18"/>
        </w:rPr>
        <w:t>Schmidt NM et al.  ·  Geriatr Gerontol Int  ·  Okt. 2026  ·  PMID 42878241</w:t>
      </w:r>
    </w:p>
    <w:p>
      <w:r>
        <w:t>Prospektive Validierungsstudie eines vortrainierten Convolutional-Neural-Network auf beschleunigungsmesser-Daten zur Erkennung von Gangstörungen und Sturzrisiko im täglichen Leben.</w:t>
      </w:r>
    </w:p>
    <w:p>
      <w:r>
        <w:rPr>
          <w:b/>
        </w:rPr>
        <w:t xml:space="preserve">Ergebnis: </w:t>
      </w:r>
      <w:r>
        <w:t>202 Teilnehmer (Median 75 Jahre); 58% aller Trittfenster klassifiziert als Gangstörung; höheres Alter, niedrigere Kogni­tion/Funktion, Sturzangst und Frailty assoziiert mit mehr klassifizierten Perturbationen. Algorithmus klassifizierte jedoch viele Fenster als Gangunregelmäßigkeiten (misclassifications), erfordert weitere Training/Validierung.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Notfallabteilungs-Population möglich; Altersdemographie und Fall-Epidemiologie ähnlich.</w:t>
      </w:r>
    </w:p>
    <w:p>
      <w:r>
        <w:rPr>
          <w:color w:val="5A7D3A"/>
          <w:sz w:val="18"/>
        </w:rPr>
        <w:t>https://pubmed.ncbi.nlm.nih.gov/42878241/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2026-10-17T06:00:00Z</dcterms:created>
  <dcterms:modified xsi:type="dcterms:W3CDTF">2026-10-17T06:00:00Z</dcterms:modified>
  <cp:category/>
</cp:coreProperties>
</file>