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30.08.2026  |  7 Studien  |  ki.m-vf.de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Künstliche Intelligenz in Prävention von Typ-2-Diabetes: Screening, Risikoprognose und digitale Interventionen</w:t>
      </w:r>
    </w:p>
    <w:p>
      <w:r>
        <w:rPr>
          <w:i/>
          <w:color w:val="666666"/>
          <w:sz w:val="18"/>
        </w:rPr>
        <w:t>Chen R et al.  ·  Front Endocrinol (Lausanne)  ·  14.08.2026  ·  PMID 42666695</w:t>
      </w:r>
    </w:p>
    <w:p>
      <w:r>
        <w:t>Narrative systematische Übersichtsarbeit von 2010-2026, die KI-gestützte Ansätze zur Prädiabetes-Früherkennung, Progressionsrisiko-Vorhersage und digitale Lebensstiländerungen untersucht; Bewertung externer Validierung und Versorgungsintegrierbarkeit.</w:t>
      </w:r>
    </w:p>
    <w:p>
      <w:r>
        <w:rPr>
          <w:b/>
        </w:rPr>
        <w:t xml:space="preserve">Ergebnis: </w:t>
      </w:r>
      <w:r>
        <w:t>KI-Modelle übertreffen traditionelle Risikoscores durch Integration von klinischen Daten, EHR-Längsschnitten, kontinuierlicher Glukoseüberwachung, tragbaren Signalen und Biomarkern. Einige extern validierte Modelle zeigen klinisch relevante Diskriminationskraft für Hochrisiko-Patienten. Digitale Programme (Apps, Web, tragbar) fördern Verhaltensänderung und reduzieren Abhängigkeit von intensiven Beratungen. Limits: Heterogenität der Prädiabetes-Definitionen, begrenzte externe Validierung in diversen Populationen, ungeklärte Langzeiteffektivität, Datenschutz und Governance-Lücken.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Narrative Übersicht, Konzepte auf Deutschland übertragbar, externe Validierung in europäischen Kohorten erforderlich</w:t>
      </w:r>
    </w:p>
    <w:p>
      <w:r>
        <w:rPr>
          <w:color w:val="5A7D3A"/>
          <w:sz w:val="18"/>
        </w:rPr>
        <w:t>https://pubmed.ncbi.nlm.nih.gov/42666695/</w:t>
      </w:r>
    </w:p>
    <w:p>
      <w:pPr>
        <w:pStyle w:val="Heading2"/>
      </w:pPr>
      <w:r>
        <w:t>Large Language Models in der klinischen Pflege: Nutzungsabsichten und Grenzen</w:t>
      </w:r>
    </w:p>
    <w:p>
      <w:r>
        <w:rPr>
          <w:i/>
          <w:color w:val="666666"/>
          <w:sz w:val="18"/>
        </w:rPr>
        <w:t>Li X et al.  ·  J Nurs Manag  ·  2026  ·  PMID 42666072</w:t>
      </w:r>
    </w:p>
    <w:p>
      <w:r>
        <w:t>Qualitative Studie mit 17 klinischen Pflegekräften aus verschiedenen Krankenhausebenen zur Untersuchung der Absicht, LLMs (ChatGPT, Claude) zu nutzen; thematische Analyse der Facilitators, Constraints, Risiken und professionellen Grenzen nach UTAUT-Modell.</w:t>
      </w:r>
    </w:p>
    <w:p>
      <w:r>
        <w:rPr>
          <w:b/>
        </w:rPr>
        <w:t xml:space="preserve">Ergebnis: </w:t>
      </w:r>
      <w:r>
        <w:t>Sechste Themen identifiziert: Performance Expectancy, Effort Expectancy, Social Influence, Facilitating Conditions, Perceived Risk, Professional Boundaries. Teilnehmer äußerten positive, aber konditionale Nutzungsabsicht. Potenzielle Unterstützung für standardisierte, niedrig-risiko Aufgaben (Dokumentation, Wissensvermittlung). Vorsicht: LLMs sollten ärztliche Urteilskraft, klinische Verantwortung und humanistische Kommunikation nicht ersetzen. Datenicherheit und Rechenschaftspflicht betont.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vergleichbare Pflegekontexte, länderneutrales Fachverhalten</w:t>
      </w:r>
    </w:p>
    <w:p>
      <w:r>
        <w:rPr>
          <w:color w:val="5A7D3A"/>
          <w:sz w:val="18"/>
        </w:rPr>
        <w:t>https://pubmed.ncbi.nlm.nih.gov/42666072/</w:t>
      </w:r>
    </w:p>
    <w:p>
      <w:pPr>
        <w:pStyle w:val="Heading2"/>
      </w:pPr>
      <w:r>
        <w:t>KI-Chatbots bei bipolarer Störung: Vertrauensverlagerung und klinische Risiken</w:t>
      </w:r>
    </w:p>
    <w:p>
      <w:r>
        <w:rPr>
          <w:i/>
          <w:color w:val="666666"/>
          <w:sz w:val="18"/>
        </w:rPr>
        <w:t>Bassil K et al.  ·  Bipolar Disord  ·  Sept. 2026  ·  PMID 42657654</w:t>
      </w:r>
    </w:p>
    <w:p>
      <w:r>
        <w:t>Qualitative Studie mit zwei Patienten mit bipolarer Störung, die ChatGPT zur Selbstreflexion und psychischen Unterstützung nutzten; Interviews dokumentierten Nutzungsmuster, wahrgenommene Vorteile und Risiken der Vertrauensverlagerung von Fachleuten zu KI.</w:t>
      </w:r>
    </w:p>
    <w:p>
      <w:r>
        <w:rPr>
          <w:b/>
        </w:rPr>
        <w:t xml:space="preserve">Ergebnis: </w:t>
      </w:r>
      <w:r>
        <w:t>Beide Patienten nutzten ChatGPT für emotionale und soziale Unterstützung; ein Patient entwickelte emotionale Intimität zur KI, während der andere reflektiertes, intellektualisiertes Engagement zeigte. Wahrgenommene Vorteile: Nichturteilende Unterstützung, bessere Erreichbarkeit als professionelle Betreuung. Risiken: Überabhängigkeit, verminderte Vertrauensfähigkeit in Kliniker, Unkenntnis von KI-Limitationen. Die Studie warnt vor der Vermischung klinischer Rollen und unzureichender Aufklärung über KI-Grenzen.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– vergleichbares Gesundheitssystem, direkt übertragbare ethische und klinische Bedenken</w:t>
      </w:r>
    </w:p>
    <w:p>
      <w:r>
        <w:rPr>
          <w:color w:val="5A7D3A"/>
          <w:sz w:val="18"/>
        </w:rPr>
        <w:t>https://pubmed.ncbi.nlm.nih.gov/42657654/</w:t>
      </w:r>
    </w:p>
    <w:p>
      <w:pPr>
        <w:pStyle w:val="Heading2"/>
      </w:pPr>
      <w:r>
        <w:t>ChatGPT-4o und ChatGPT-5 zur Diagnose oraler Schleimhautläsionen: Klinische Leistung</w:t>
      </w:r>
    </w:p>
    <w:p>
      <w:r>
        <w:rPr>
          <w:i/>
          <w:color w:val="666666"/>
          <w:sz w:val="18"/>
        </w:rPr>
        <w:t>Glavina A et al.  ·  Medicina (Kaunas)  ·  21.08.2026  ·  PMID 42654507</w:t>
      </w:r>
    </w:p>
    <w:p>
      <w:r>
        <w:t>Prospektive Studie mit 70 Patienten (21 normal anatomische Varianten, 49 pathologische Läsionen) zur Bewertung der diagnostischen Genauigkeit von ChatGPT-4o und ChatGPT-5 bei der Identifikation oraler Läsionen basierend auf klinischen Fotografien.</w:t>
      </w:r>
    </w:p>
    <w:p>
      <w:r>
        <w:rPr>
          <w:b/>
        </w:rPr>
        <w:t xml:space="preserve">Ergebnis: </w:t>
      </w:r>
      <w:r>
        <w:t>Mit Bild allein: ChatGPT-4o 19,0%, ChatGPT-5 9,0% Top-1-Genauigkeit. Mit Bild plus klinischer Information: ChatGPT-4o 69,0%, ChatGPT-5 51,0%. Für normale Varianten (Bild+Text): ChatGPT-4o 81,0%, ChatGPT-5 76,2%. Für pathologische Läsionen: ChatGPT-4o 63,3%, ChatGPT-5 40,8%. Beide Modelle können klinische Diagnose nicht ersetzen; als Entscheidungsunterstützungstool bei strukturierter Information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 – EU-Regulierungskontext, vergleichbare zahnmedizinische Versorgung</w:t>
      </w:r>
    </w:p>
    <w:p>
      <w:r>
        <w:rPr>
          <w:color w:val="5A7D3A"/>
          <w:sz w:val="18"/>
        </w:rPr>
        <w:t>https://pubmed.ncbi.nlm.nih.gov/42654507/</w:t>
      </w:r>
    </w:p>
    <w:p>
      <w:pPr>
        <w:pStyle w:val="Heading2"/>
      </w:pPr>
      <w:r>
        <w:t>Zeno AI zur Echtzeit-Risikoklassifizierung von Stimmlippenläsionen in Laryngoskopie</w:t>
      </w:r>
    </w:p>
    <w:p>
      <w:r>
        <w:rPr>
          <w:i/>
          <w:color w:val="666666"/>
          <w:sz w:val="18"/>
        </w:rPr>
        <w:t>Kränzlein J et al.  ·  Med Sci (Basel)  ·  06.08.2026  ·  PMID 42646592</w:t>
      </w:r>
    </w:p>
    <w:p>
      <w:r>
        <w:t>Prospektive Single-Center-Studie mit 109 Patienten zur Validierung des CE-MDR-zertifizierten Systems Zeno AI im Schattenmodus während strukturierter flexibler Laryngoskopie; Vergleich mit Expertenurteil und Histopathologie bei operierten Patienten (n=36).</w:t>
      </w:r>
    </w:p>
    <w:p>
      <w:r>
        <w:rPr>
          <w:b/>
        </w:rPr>
        <w:t xml:space="preserve">Ergebnis: </w:t>
      </w:r>
      <w:r>
        <w:t>AI und Expertenurteil stimmten in 99/103 interpretierbaren Fällen überein (96,1%, κ=0,927). Gegenüber Histopathologie (36 Patienten): Sensitivität 88,9%, Spezifität 92,6%, PPV 80,0%, NPV 96,2%. Bei definitiven AI-Outputs (sekundäre Analyse): Sensitivität 100%, Spezifität 91,7%. Unsichere Outputs (n=6) erforderten Expertenbeurteilung. Keine Malignität als benigne klassifiziert; ein Fall mit Dysplasie als unsicher. Histopathologie bleibt Standard für definitive Diagnose.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deutsche Kliniken, vergleichbare Dokumentations- und Zulassungsstandards</w:t>
      </w:r>
    </w:p>
    <w:p>
      <w:r>
        <w:rPr>
          <w:color w:val="5A7D3A"/>
          <w:sz w:val="18"/>
        </w:rPr>
        <w:t>https://pubmed.ncbi.nlm.nih.gov/42646592/</w:t>
      </w:r>
    </w:p>
    <w:p>
      <w:pPr>
        <w:pStyle w:val="Heading2"/>
      </w:pPr>
      <w:r>
        <w:t>Machine-Learning-Modell zur Vorhersage von Krebsrisiko bei Herz-Nieren-Metabolik-Syndrom</w:t>
      </w:r>
    </w:p>
    <w:p>
      <w:r>
        <w:rPr>
          <w:i/>
          <w:color w:val="666666"/>
          <w:sz w:val="18"/>
        </w:rPr>
        <w:t>He X et al.  ·  Front Endocrinol (Lausanne)  ·  03.08.2026  ·  PMID 42609333</w:t>
      </w:r>
    </w:p>
    <w:p>
      <w:r>
        <w:t>Prospektive Kohortenstudie mit 399.034 UK-Biobank-Teilnehmern zur Evaluation von Herz-Nieren-Metabolik(CKM)-Stadium und genetischer Suszeptibilität (Polygenic Risk Score) für Krebsinzidenz; acht ML-Modelle für Risikostratifizierung entwickelt.</w:t>
      </w:r>
    </w:p>
    <w:p>
      <w:r>
        <w:rPr>
          <w:b/>
        </w:rPr>
        <w:t xml:space="preserve">Ergebnis: </w:t>
      </w:r>
      <w:r>
        <w:t>Über Median-Follow-up von 13,7 Jahren: 48.247 Krebsfälle. Hazard Ratios für CKM-Stadium 0-4: 1,0 (Referenz), 1,01, 1,21, 2,17. Mit hohem genetischen Risiko und fortgeschrittenem CKM: HR 3,24 (95%-CI 2,68-3,93). Bestes Modell (GBM): Test-AUC 0,801. Web-basierter Rechner für individualisierte Risikoprognose. Nichtlineare Assoziationen für diastolischer RR, Neutrophilenzahl, alkalische Phosphatase, TyG-BMI. Gesamtbilirubin medierte 44,45% der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generalisierbar auf europäische Bevölkerungen mit ähnlichen Risikofaktoren</w:t>
      </w:r>
    </w:p>
    <w:p>
      <w:r>
        <w:rPr>
          <w:color w:val="5A7D3A"/>
          <w:sz w:val="18"/>
        </w:rPr>
        <w:t>https://pubmed.ncbi.nlm.nih.gov/42609333/</w:t>
      </w:r>
    </w:p>
    <w:p>
      <w:pPr>
        <w:pStyle w:val="Heading2"/>
      </w:pPr>
      <w:r>
        <w:t>Deep-Learning-gestützte MRT-Navigation für fokale Prostata-Seed-Brachytherapie: Workflow-Validierung</w:t>
      </w:r>
    </w:p>
    <w:p>
      <w:r>
        <w:rPr>
          <w:i/>
          <w:color w:val="666666"/>
          <w:sz w:val="18"/>
        </w:rPr>
        <w:t>Aumueller P et al.  ·  J Appl Clin Med Phys  ·  Aug. 2026  ·  PMID 42605022</w:t>
      </w:r>
    </w:p>
    <w:p>
      <w:r>
        <w:t>Machbarkeitsstudie zum Einsatz des ferngesteuerten, MRT-kompatiblen Robotersystems RCM für transrektale, MRT-gelenkte fokale Prostataimplantation; Phantom-Experimente zur Quantifizierung der Präzision und dosimetrischen Auswirkungen.</w:t>
      </w:r>
    </w:p>
    <w:p>
      <w:r>
        <w:rPr>
          <w:b/>
        </w:rPr>
        <w:t xml:space="preserve">Ergebnis: </w:t>
      </w:r>
      <w:r>
        <w:t>Robotische Ausrichtung: mittlere erwartete Samenablage-Verschiebung 0,6±0,2 mm. Gesamtabweichung geplante zu freigesetzte Positionen: 2,6±0,9 mm, mit 0,7±0,4 mm Versatz entlang der Trajektorie. MRT-only-Seed-Registrierung: Unterschied zu CT-verifizierten Positionen 2,8±1,4 mm. Nach zwei freigesetzten Nadeln: V100%-Dosisabdeckung fiel von 100% auf 92,9% (MRT-only) bzw. 85,7% (CT-verifiziert). Sub-Millimeter-Robotergenauigkeit demonstriert; Samenfreisetzung und MRT-Bildgebungs-Limitationen bleiben Fehlerquellen.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deutsche Universitätskliniken, vergleichbare Radiotherapie-Standards</w:t>
      </w:r>
    </w:p>
    <w:p>
      <w:r>
        <w:rPr>
          <w:color w:val="5A7D3A"/>
          <w:sz w:val="18"/>
        </w:rPr>
        <w:t>https://pubmed.ncbi.nlm.nih.gov/42605022/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