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Digitalisierung, KI und Gesundheit</w:t>
      </w:r>
    </w:p>
    <w:p>
      <w:r>
        <w:rPr>
          <w:i/>
          <w:color w:val="666666"/>
          <w:sz w:val="18"/>
        </w:rPr>
        <w:t>Stand: 24.10.2026  |  6 Studien  |  ki.m-vf.de</w:t>
      </w:r>
    </w:p>
    <w:p>
      <w:pPr>
        <w:pStyle w:val="Heading1"/>
      </w:pPr>
      <w:r>
        <w:t>Aufgenommen am 24.10.2026</w:t>
      </w:r>
    </w:p>
    <w:p>
      <w:pPr>
        <w:pStyle w:val="Heading2"/>
      </w:pPr>
      <w:r>
        <w:t>Machine-Learning-Modell zur Vorhersage von 30-Tage-Wiederaufnahmen nach Nierentransplantation</w:t>
      </w:r>
    </w:p>
    <w:p>
      <w:r>
        <w:rPr>
          <w:i/>
          <w:color w:val="666666"/>
          <w:sz w:val="18"/>
        </w:rPr>
        <w:t>Pinto-Ramírez J et al.  ·  BMC Med Inform Decis Mak  ·  28.07.2026  ·  PMID 42919237</w:t>
      </w:r>
    </w:p>
    <w:p>
      <w:r>
        <w:t>Retrospektive Kohortenstudie (2.110 Erwachsene, 2008–2023) zur Entwicklung eines ML-Modells (Random Forest, XGBoost) für 30-Tage-Wiederaufnahmen mit Validierung und web-basiertem Risikokalkulator für Klinikteams.</w:t>
      </w:r>
    </w:p>
    <w:p>
      <w:r>
        <w:rPr>
          <w:b/>
        </w:rPr>
        <w:t xml:space="preserve">Ergebnis: </w:t>
      </w:r>
      <w:r>
        <w:t>Wiederaufnahmerate 14,5 %. XGBoost erzielte höchste Diskriminierung (AUC 0,750, 95%-KI 0,722–0,778). Random Forest (AUC 0,744) und logistische Regression (AUC 0,747) vergleichbar. Wichtigste Prädiktoren: Aufenthaltsdauer, Dialysedauer, GFR Tag 7, Empfängeralter, chirurgische Reintervention. Web-basierter Kalkulator verfügbar; externe Validierung ausstehend.</w:t>
      </w:r>
    </w:p>
    <w:p>
      <w:r>
        <w:rPr>
          <w:b/>
          <w:sz w:val="19"/>
        </w:rPr>
        <w:t xml:space="preserve">Übertragbarkeit: </w:t>
      </w:r>
      <w:r>
        <w:rPr>
          <w:sz w:val="19"/>
        </w:rPr>
        <w:t>Kolumbien, aber Methodik und Prognoseansatz direkt auf deutsche Transplantationszentren übertragbar.</w:t>
      </w:r>
    </w:p>
    <w:p>
      <w:r>
        <w:rPr>
          <w:color w:val="5A7D3A"/>
          <w:sz w:val="18"/>
        </w:rPr>
        <w:t>https://pubmed.ncbi.nlm.nih.gov/42919237/</w:t>
      </w:r>
    </w:p>
    <w:p>
      <w:pPr>
        <w:pStyle w:val="Heading2"/>
      </w:pPr>
      <w:r>
        <w:t>ML-Modell aus quantitativer MRT und klinischen Variablen sagt Gehfähigkeitsverlust bei DMD voraus</w:t>
      </w:r>
    </w:p>
    <w:p>
      <w:r>
        <w:rPr>
          <w:i/>
          <w:color w:val="666666"/>
          <w:sz w:val="18"/>
        </w:rPr>
        <w:t>Liu C et al.  ·  J Cachexia Sarcopenia Muscle  ·  Okt. 2026  ·  PMID 42913715</w:t>
      </w:r>
    </w:p>
    <w:p>
      <w:r>
        <w:t>Prospektive Studie (188 DMD-Jungen, 43,5 Monate Follow-up) zur Entwicklung eines Random-Survival-Forest-Modells mit Fettinfiltrations-MRT-Parametern und klinischen Variablen zur individualisierten Risikovorhersage für Gehfähigkeitsverlust.</w:t>
      </w:r>
    </w:p>
    <w:p>
      <w:r>
        <w:rPr>
          <w:b/>
        </w:rPr>
        <w:t xml:space="preserve">Ergebnis: </w:t>
      </w:r>
      <w:r>
        <w:t>66 Patienten (35,1 %) erlebten Gehfähigkeitsverlust. RSF-Modell mit 6 Prädiktoren (NSAA-Score, MRC%, Alter, 3 Fettinfiltrationswerte): C-Index 0,870 (95%-KI 0,764–0,957), überlegen gegenüber klinischem Cox (0,804) und Ridge-Cox (0,853). Zeit-abhängige AUCs 0,984/0,971/0,913/0,850 bei 12/24/36/48 Monaten. Risikogruppen-Stratifikation mit log-rank p = 0,0025. Web-Tool verfügbar.</w:t>
      </w:r>
    </w:p>
    <w:p>
      <w:r>
        <w:rPr>
          <w:b/>
          <w:sz w:val="19"/>
        </w:rPr>
        <w:t xml:space="preserve">Übertragbarkeit: </w:t>
      </w:r>
      <w:r>
        <w:rPr>
          <w:sz w:val="19"/>
        </w:rPr>
        <w:t>China, aber Methodik mit quantitativer MRT und genetischen Markern auf europäische DMD-Zentren mit ähnlicher Ausstattung übertragbar.</w:t>
      </w:r>
    </w:p>
    <w:p>
      <w:r>
        <w:rPr>
          <w:color w:val="5A7D3A"/>
          <w:sz w:val="18"/>
        </w:rPr>
        <w:t>https://pubmed.ncbi.nlm.nih.gov/42913715/</w:t>
      </w:r>
    </w:p>
    <w:p>
      <w:pPr>
        <w:pStyle w:val="Heading2"/>
      </w:pPr>
      <w:r>
        <w:t>Ethik der Telerehabilitation in der Krebsnachsorge: Versorgungsgerechtigkeit und Verantwortung</w:t>
      </w:r>
    </w:p>
    <w:p>
      <w:r>
        <w:rPr>
          <w:i/>
          <w:color w:val="666666"/>
          <w:sz w:val="18"/>
        </w:rPr>
        <w:t>Lorenz MC et al.  ·  J Med Internet Res  ·  22.10.2026  ·  PMID 42912965</w:t>
      </w:r>
    </w:p>
    <w:p>
      <w:r>
        <w:t>Qualitative Analyse von Leitlinien und Fachliteratur zur Telerehabilitation nach Krebsbehandlung, mit Fokus auf Verantwortung in drei Bereichen: interpersonale Versorgungsqualität, rechtliche Rahmenbedingungen und Positionierung im Gesundheitssystem.</w:t>
      </w:r>
    </w:p>
    <w:p>
      <w:r>
        <w:rPr>
          <w:b/>
        </w:rPr>
        <w:t xml:space="preserve">Ergebnis: </w:t>
      </w:r>
      <w:r>
        <w:t>Die Autoren identifizierten, dass ethische Diskussionen zu Telerehabilitation sich überwiegend auf Sicherheit, Datenschutz und Compliance konzentrieren, während Zwecksetzung, Gerechtigkeit und Patientenperspektiven unterrepräsentiert sind. Nutzen und Lasten hängen von Alter, digitaler Kompetenz, Konnektivität, Betreuungsverfügbarkeit und Behinderungen ab – Gerechtigkeitsansprüche gelten daher nicht universell.</w:t>
      </w:r>
    </w:p>
    <w:p>
      <w:r>
        <w:rPr>
          <w:b/>
          <w:sz w:val="19"/>
        </w:rPr>
        <w:t xml:space="preserve">Übertragbarkeit: </w:t>
      </w:r>
      <w:r>
        <w:rPr>
          <w:sz w:val="19"/>
        </w:rPr>
        <w:t>Europäische Studie, deutsche Beteiligung; direkt übertragbar auf deutsches Gesundheitssystem und seine Versorgungsverpflichtung.</w:t>
      </w:r>
    </w:p>
    <w:p>
      <w:r>
        <w:rPr>
          <w:color w:val="5A7D3A"/>
          <w:sz w:val="18"/>
        </w:rPr>
        <w:t>https://pubmed.ncbi.nlm.nih.gov/42912965/</w:t>
      </w:r>
    </w:p>
    <w:p>
      <w:pPr>
        <w:pStyle w:val="Heading2"/>
      </w:pPr>
      <w:r>
        <w:t>KI-gestützte Echtzeit-Klassifikation von Kolonialpolypen: europäisch-japanische Multicenterstudie</w:t>
      </w:r>
    </w:p>
    <w:p>
      <w:r>
        <w:rPr>
          <w:i/>
          <w:color w:val="666666"/>
          <w:sz w:val="18"/>
        </w:rPr>
        <w:t>Olabintan O et al.  ·  JMIR Res Protoc  ·  21.10.2026  ·  PMID 42905971</w:t>
      </w:r>
    </w:p>
    <w:p>
      <w:r>
        <w:t>Protokoll für prospektive Multicenterstudie mit über 17.000 Bildern aus 9 Zentren (8 europäisch, 1 japanisch) zur Entwicklung eines multiklassifizierten AI-Systems (Nichtneoplasie, niedrig-/hochgradige Adenome, sessile Polypen, invasives Karzinom) zur Verbesserung der optischen Diagnostik während Koloskopie.</w:t>
      </w:r>
    </w:p>
    <w:p>
      <w:r>
        <w:rPr>
          <w:b/>
        </w:rPr>
        <w:t xml:space="preserve">Ergebnis: </w:t>
      </w:r>
      <w:r>
        <w:t>Studienprotokoll; Zieldefinition: 85 % Genauigkeit der AI-Klassifikation. Einsatz von SimCLR-basiertem halbüberwachtem Lernen mit Grad-CAM für Interpretierbarkeit. Datenmanagement über REDCap mit Deidentifikation geplant. Ziel ist klinisch anwendbares, multimodales System jenseits binärer Klassifizierung.</w:t>
      </w:r>
    </w:p>
    <w:p>
      <w:r>
        <w:rPr>
          <w:b/>
          <w:sz w:val="19"/>
        </w:rPr>
        <w:t xml:space="preserve">Übertragbarkeit: </w:t>
      </w:r>
      <w:r>
        <w:rPr>
          <w:sz w:val="19"/>
        </w:rPr>
        <w:t>Hauptsächlich europäische Zentren (UK, Spanien, Norwegen, Deutschland, Italien, Dänemark); deutsches Zentrum beteiligt; direkt relevant für deutsche Klinikpraxis.</w:t>
      </w:r>
    </w:p>
    <w:p>
      <w:r>
        <w:rPr>
          <w:color w:val="5A7D3A"/>
          <w:sz w:val="18"/>
        </w:rPr>
        <w:t>https://pubmed.ncbi.nlm.nih.gov/42905971/</w:t>
      </w:r>
    </w:p>
    <w:p>
      <w:pPr>
        <w:pStyle w:val="Heading2"/>
      </w:pPr>
      <w:r>
        <w:t>LLM-Zugang erhöht Gesundheitskompetenz, nicht rational begründete Arzneimittelnutzung: Querschnittsstudie</w:t>
      </w:r>
    </w:p>
    <w:p>
      <w:r>
        <w:rPr>
          <w:i/>
          <w:color w:val="666666"/>
          <w:sz w:val="18"/>
        </w:rPr>
        <w:t>Raif K et al.  ·  Front Public Health  ·  06.10.2026  ·  PMID 42903289</w:t>
      </w:r>
    </w:p>
    <w:p>
      <w:r>
        <w:t>Strukturgleichungsmodellierung bei 445 Erwachsenen zur Untersuchung, wie KI-Einstellung und individuelle Innovativität über Gesundheitskompetenz auf rationale Arzneimittelnutzung wirken – Fokus auf Unterscheidung zwischen Informationszugang und klinischer Disziplin.</w:t>
      </w:r>
    </w:p>
    <w:p>
      <w:r>
        <w:rPr>
          <w:b/>
        </w:rPr>
        <w:t xml:space="preserve">Ergebnis: </w:t>
      </w:r>
      <w:r>
        <w:t>Individuelle Innovativität zeigte signifikanten positiven Effekt auf Gesundheitskompetenz (direkt) und rationale Arzneimittelnutzung (vermittelt über Gesundheitskompetenz). Positive KI-Einstellung verbesserte Gesundheitskompetenz signifikant, führte aber nicht zu verbesserter Arzneimittelnutzung. Modellfit: χ²/df = 2,45, CFI = 0,935, RMSEA = 0,062. Kernbefund: algorithmische Anleitung kann ärztliche Überwachung nicht ersetzen.</w:t>
      </w:r>
    </w:p>
    <w:p>
      <w:r>
        <w:rPr>
          <w:b/>
          <w:sz w:val="19"/>
        </w:rPr>
        <w:t xml:space="preserve">Übertragbarkeit: </w:t>
      </w:r>
      <w:r>
        <w:rPr>
          <w:sz w:val="19"/>
        </w:rPr>
        <w:t>Zypern, kleinere Stichprobe, aber methoden- und sicherheitsbefunde übertragbar; zeigt Risiken bei unkritischer LLM-Nutzung.</w:t>
      </w:r>
    </w:p>
    <w:p>
      <w:r>
        <w:rPr>
          <w:color w:val="5A7D3A"/>
          <w:sz w:val="18"/>
        </w:rPr>
        <w:t>https://pubmed.ncbi.nlm.nih.gov/42903289/</w:t>
      </w:r>
    </w:p>
    <w:p>
      <w:pPr>
        <w:pStyle w:val="Heading2"/>
      </w:pPr>
      <w:r>
        <w:t>Kontaktlose Radar-basierte Schlafstadien-Klassifikation: Validierungsstudie an 1.022 Probanden</w:t>
      </w:r>
    </w:p>
    <w:p>
      <w:r>
        <w:rPr>
          <w:i/>
          <w:color w:val="666666"/>
          <w:sz w:val="18"/>
        </w:rPr>
        <w:t>Diao Z et al.  ·  Physiol Meas  ·  20.10.2026  ·  PMID 42838096</w:t>
      </w:r>
    </w:p>
    <w:p>
      <w:r>
        <w:t>Prospektive Validierungsstudie eines 60-GHz-Radarsystems (Sleepal AI Lamp) zur berührungslosen Schlafklassifikation im Vergleich zu Polysomnographie bei 1.022 Probanden mit normalen und pathologischen Schlafprofilen (Schlafapnoe aller Schweregrade).</w:t>
      </w:r>
    </w:p>
    <w:p>
      <w:r>
        <w:rPr>
          <w:b/>
        </w:rPr>
        <w:t xml:space="preserve">Ergebnis: </w:t>
      </w:r>
      <w:r>
        <w:t>Binäre Schlaf-Wach-Klassifikation: 92,7 % Genauigkeit, Cohen's Kappa 0,792, Sensitivität 96,4 %, Spezifität 80,8 %, F1-Score 0,896. Vierstufige Klassifikation (Wach, Light, Deep, REM): 77,2 % Genauigkeit, Kappa 0,677, F1-Score 0,768, ausgeglichene Genauigkeit 77,4 %. Stadienspezifische F1-Scores: Wach 0,839, Light 0,740, Deep 0,691, REM 0,802.</w:t>
      </w:r>
    </w:p>
    <w:p>
      <w:r>
        <w:rPr>
          <w:b/>
          <w:sz w:val="19"/>
        </w:rPr>
        <w:t xml:space="preserve">Übertragbarkeit: </w:t>
      </w:r>
      <w:r>
        <w:rPr>
          <w:sz w:val="19"/>
        </w:rPr>
        <w:t>Deutschsprachiger Raum möglich, Technologie nicht an proprietäre Systeme gebunden; geeignet für Home-Screening und Langzeit-Überwachung ohne Geräteanschaffung.</w:t>
      </w:r>
    </w:p>
    <w:p>
      <w:r>
        <w:rPr>
          <w:color w:val="5A7D3A"/>
          <w:sz w:val="18"/>
        </w:rPr>
        <w:t>https://pubmed.ncbi.nlm.nih.gov/42838096/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Digitalisierung, KI und Gesundheit</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