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23.08.2026  |  2 Studien  |  ki.m-vf.de</w:t>
      </w:r>
    </w:p>
    <w:p>
      <w:pPr>
        <w:pStyle w:val="Heading1"/>
      </w:pPr>
      <w:r>
        <w:t>Aufgenommen am 23.08.2026</w:t>
      </w:r>
    </w:p>
    <w:p>
      <w:pPr>
        <w:pStyle w:val="Heading2"/>
      </w:pPr>
      <w:r>
        <w:t>KI-Unterstützung bei Frakturdiagnose in Radiographien: Multinationaler Validierungstest an drei europäischen Zentren mit Kliniker-Performance</w:t>
      </w:r>
    </w:p>
    <w:p>
      <w:r>
        <w:rPr>
          <w:i/>
          <w:color w:val="666666"/>
          <w:sz w:val="18"/>
        </w:rPr>
        <w:t>Ruitenbeek HC et al.  ·  Radiology  ·  Aug. 2026  ·  PMID 42610815</w:t>
      </w:r>
    </w:p>
    <w:p>
      <w:r>
        <w:t>Retrospektive multizentrische Validierungsstudie eines vorkonfigurierten Fraktur-KI-Tools an 1500 Röntgenbildern aus Niederlanden, Dänemark und Deutschland; Effekt auf Kliniker-Sensitivität und Spezifität untersucht.</w:t>
      </w:r>
    </w:p>
    <w:p>
      <w:r>
        <w:rPr>
          <w:b/>
        </w:rPr>
        <w:t xml:space="preserve">Ergebnis: </w:t>
      </w:r>
      <w:r>
        <w:t>KI-Sensitivität über Zentren: 80–86%, Spezifität 93–96%; keine signifikanten Unterschiede zwischen Zentren (p=0,23). Mit KI-Hilfe verbesserte sich die Kliniker-Sensitivität um 11 Prozentpunkte (95% CI: 6,8–14,4; p&lt;0,001), während Spezifität stabil blieb (Δ=0,6 Pp, p=0,34). Tool-Performance zeigte sich konsistent über Länder und Bildprotokolle.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Drei europäische Länder mit vergleichbaren Versorgungssystemen und Bildstandards.</w:t>
      </w:r>
    </w:p>
    <w:p>
      <w:r>
        <w:rPr>
          <w:color w:val="5A7D3A"/>
          <w:sz w:val="18"/>
        </w:rPr>
        <w:t>https://pubmed.ncbi.nlm.nih.gov/42610815/</w:t>
      </w:r>
    </w:p>
    <w:p>
      <w:pPr>
        <w:pStyle w:val="Heading2"/>
      </w:pPr>
      <w:r>
        <w:t>Digitale Gesundheitsanwendung zur Unterstützung regelmäßiger Bewegung nach kardialer Rehabilitation: Feasibility-Pilotstudie in Österreich</w:t>
      </w:r>
    </w:p>
    <w:p>
      <w:r>
        <w:rPr>
          <w:i/>
          <w:color w:val="666666"/>
          <w:sz w:val="18"/>
        </w:rPr>
        <w:t>Leysen D et al.  ·  JMIR Form Res  ·  11.08.2026  ·  PMID 42610731</w:t>
      </w:r>
    </w:p>
    <w:p>
      <w:r>
        <w:t>Randomisierte kontrollierte Pilotstudie (n=34, davon 16 Intervention) der aktivplan-App als digitale Unterstützung für Bewegungsverhalten nach kardialer Phase-II-Rehabilitation in Österreich über 10 Wochen.</w:t>
      </w:r>
    </w:p>
    <w:p>
      <w:r>
        <w:rPr>
          <w:b/>
        </w:rPr>
        <w:t xml:space="preserve">Ergebnis: </w:t>
      </w:r>
      <w:r>
        <w:t>Rekrutierungsrate 0,6–1,0 Patienten/Woche, Dropout 18%, Datenvollständigkeit 97,4%. Patientenadhärenz hoch: 71% geplante Aktivitäten abgeschlossen, durchschnittlich 39 zusätzliche Aktivitäten pro Teilnehmer. Keine Nebenwirkungen. HCPs berichteten hohe Implementierungstreue (Normalization Measure Development: 3,75/5), Patienten und Personal positiv zur Machbarkeit und Intervention.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vergleichbares deutsches Gesundheitssystem und Rehastandardisierung.</w:t>
      </w:r>
    </w:p>
    <w:p>
      <w:r>
        <w:rPr>
          <w:color w:val="5A7D3A"/>
          <w:sz w:val="18"/>
        </w:rPr>
        <w:t>https://pubmed.ncbi.nlm.nih.gov/42610731/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2026-08-23T06:00:00Z</dcterms:created>
  <dcterms:modified xsi:type="dcterms:W3CDTF">2026-08-23T06:00:00Z</dcterms:modified>
  <cp:category/>
</cp:coreProperties>
</file>