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04.10.2026  |  7 Studien  |  ki.m-vf.de</w:t>
      </w:r>
    </w:p>
    <w:p>
      <w:pPr>
        <w:pStyle w:val="Heading1"/>
      </w:pPr>
      <w:r>
        <w:t>Aufgenommen am 04.10.2026</w:t>
      </w:r>
    </w:p>
    <w:p>
      <w:pPr>
        <w:pStyle w:val="Heading2"/>
      </w:pPr>
      <w:r>
        <w:t>FHIR-basiertes Disaster-Health-Dashboard: Echtzeit-Datenvisualisierung für Notfallmanagement</w:t>
      </w:r>
    </w:p>
    <w:p>
      <w:r>
        <w:rPr>
          <w:i/>
          <w:color w:val="666666"/>
          <w:sz w:val="18"/>
        </w:rPr>
        <w:t>Faisal HP et al.  ·  JMIR Med Inform  ·  02.10.2026  ·  PMID 42826230</w:t>
      </w:r>
    </w:p>
    <w:p>
      <w:r>
        <w:t>Entwicklung eines Web-Dashboards zur Visualisierung von FHIR-standardisierten Gesundheitsdaten nach Katastrophen, mit Anwendung auf WHO-Notfall-Mindestdatensatz in Indonesien.</w:t>
      </w:r>
    </w:p>
    <w:p>
      <w:r>
        <w:rPr>
          <w:b/>
        </w:rPr>
        <w:t xml:space="preserve">Ergebnis: </w:t>
      </w:r>
      <w:r>
        <w:t>Dashboard integriert 13.300 synthetische Patientendatensätze, zeigt Echtzeitübersicht über Patientenzahl, Gesundheitszustände, Outcomes und geografische Verteilung; unterstützt datengestützte Entscheidungsfindung in Notfalllagen ohne numerische Leistungsmetriken angegeben.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FHIR-Interoperabilität; konzeptionell auf deutsche DiGA-Infrastruktur übertragbar.</w:t>
      </w:r>
    </w:p>
    <w:p>
      <w:r>
        <w:rPr>
          <w:color w:val="5A7D3A"/>
          <w:sz w:val="18"/>
        </w:rPr>
        <w:t>https://pubmed.ncbi.nlm.nih.gov/42826230/</w:t>
      </w:r>
    </w:p>
    <w:p>
      <w:pPr>
        <w:pStyle w:val="Heading2"/>
      </w:pPr>
      <w:r>
        <w:t>Telemedizin in der Langzeitpflege: Barrieren und Nutzen für spezialistischen Zugang</w:t>
      </w:r>
    </w:p>
    <w:p>
      <w:r>
        <w:rPr>
          <w:i/>
          <w:color w:val="666666"/>
          <w:sz w:val="18"/>
        </w:rPr>
        <w:t>SteelFisher GK et al.  ·  JAMA Netw Open  ·  01.10.2026  ·  PMID 42826022</w:t>
      </w:r>
    </w:p>
    <w:p>
      <w:r>
        <w:t>Befragung von 379 Pflegeheimleiterinnen zu Wahrnehmung und Nutzung von Telemedizin für spezialistischen Zugang bei immobilen älteren Patienten.</w:t>
      </w:r>
    </w:p>
    <w:p>
      <w:r>
        <w:rPr>
          <w:b/>
        </w:rPr>
        <w:t xml:space="preserve">Ergebnis: </w:t>
      </w:r>
      <w:r>
        <w:t>77% der Nutzer sahen Vorteil bei Mobilitätsbarrieren, 73% berichteten bessere Versorgungsqualität; 73% der Nichtnutzer nannten zu seltenes Angebot durch Spezialistinnen, 62% sahen keinen Qualitätsvorteil, 60% der Nutzer berichteten zusätzliche Zeitbelastung für Pflegepersonal.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USA-Studie; Befunde zu organisatorischen Barrieren und Pflegeworkload relevant für deutsche Langzeitpflegeeinrichtungen.</w:t>
      </w:r>
    </w:p>
    <w:p>
      <w:r>
        <w:rPr>
          <w:color w:val="5A7D3A"/>
          <w:sz w:val="18"/>
        </w:rPr>
        <w:t>https://pubmed.ncbi.nlm.nih.gov/42826022/</w:t>
      </w:r>
    </w:p>
    <w:p>
      <w:pPr>
        <w:pStyle w:val="Heading2"/>
      </w:pPr>
      <w:r>
        <w:t>KI-gestützte SNOMED-CT-Kodierung: Human-AI-Workflow für zweisprachige klinische Texte</w:t>
      </w:r>
    </w:p>
    <w:p>
      <w:r>
        <w:rPr>
          <w:i/>
          <w:color w:val="666666"/>
          <w:sz w:val="18"/>
        </w:rPr>
        <w:t>Lee H et al.  ·  J Med Syst  ·  02.10.2026  ·  PMID 42825967</w:t>
      </w:r>
    </w:p>
    <w:p>
      <w:r>
        <w:t>Evaluierung eines Large-Language-Model-Agent-Systems zur automatisierten Kodierung von klinischen Freitexten auf SNOMED-CT-Konzepte in Deutsch und Koreanisch, mit Messung von Genauigkeit und Zeitaufwand.</w:t>
      </w:r>
    </w:p>
    <w:p>
      <w:r>
        <w:rPr>
          <w:b/>
        </w:rPr>
        <w:t xml:space="preserve">Ergebnis: </w:t>
      </w:r>
      <w:r>
        <w:t>Human-AI-Workflow erhöhte Hit-Rate@1 von 83,7% auf 86,8% (p&lt;0,001), R-Precision von 63,2% auf 67,4% (p&lt;0,001) und reduzierte Kodierungszeit um 53,9% (von 1,57 auf 0,72 min pro Segment).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Tertärmedizinische Klinik Südkorea; Dokumentationsaufwand-Entlastung direkt auf deutsche EHR-Systeme übertragbar.</w:t>
      </w:r>
    </w:p>
    <w:p>
      <w:r>
        <w:rPr>
          <w:color w:val="5A7D3A"/>
          <w:sz w:val="18"/>
        </w:rPr>
        <w:t>https://pubmed.ncbi.nlm.nih.gov/42825967/</w:t>
      </w:r>
    </w:p>
    <w:p>
      <w:pPr>
        <w:pStyle w:val="Heading2"/>
      </w:pPr>
      <w:r>
        <w:t>KI-Screening für Frühgeborenen-Retinopathie: Kosteneffektivität in gemeindebasierten Strukturen</w:t>
      </w:r>
    </w:p>
    <w:p>
      <w:r>
        <w:rPr>
          <w:i/>
          <w:color w:val="666666"/>
          <w:sz w:val="18"/>
        </w:rPr>
        <w:t>Xu J et al.  ·  J Glob Health  ·  02.10.2026  ·  PMID 42825367</w:t>
      </w:r>
    </w:p>
    <w:p>
      <w:r>
        <w:t>Entscheidungsbaumanalyse zur Kosteneffektivität von KI-assistiertem und Telemedizin-basiertem Screening gegenüber Bettseitenscreening durch Spezialisten bei 100.000 Früh­ge­borenen in China.</w:t>
      </w:r>
    </w:p>
    <w:p>
      <w:r>
        <w:rPr>
          <w:b/>
        </w:rPr>
        <w:t xml:space="preserve">Ergebnis: </w:t>
      </w:r>
      <w:r>
        <w:t>KI-assistiertes Screening war dominierend: Lebenszeitkosten USD 1.507/Person (urban) vs. USD 2.581/Person (ländlich), 29,71 QALYs (urban) vs. 29,58 QALYs (ländlich); Inkrementelle Kosteneffektivität –USD 7.307/QALY (urban) und –USD 3.688/QALY (ländlich) – robust in Sensitivitätsanalysen.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Neonataler Zugang; Modell auch auf deutsche Ressourcen-limitierte Settings übertragbar.</w:t>
      </w:r>
    </w:p>
    <w:p>
      <w:r>
        <w:rPr>
          <w:color w:val="5A7D3A"/>
          <w:sz w:val="18"/>
        </w:rPr>
        <w:t>https://pubmed.ncbi.nlm.nih.gov/42825367/</w:t>
      </w:r>
    </w:p>
    <w:p>
      <w:pPr>
        <w:pStyle w:val="Heading2"/>
      </w:pPr>
      <w:r>
        <w:t>Machine Learning zur Stoffwechselsyndrom-Vorhersage bei Jugendlichen anhand von Bewegungsverhalten</w:t>
      </w:r>
    </w:p>
    <w:p>
      <w:r>
        <w:rPr>
          <w:i/>
          <w:color w:val="666666"/>
          <w:sz w:val="18"/>
        </w:rPr>
        <w:t>Cao L et al.  ·  Front Public Health  ·  17.09.2026  ·  PMID 42824331</w:t>
      </w:r>
    </w:p>
    <w:p>
      <w:r>
        <w:t>Entwicklung und interne Validierung eines Machine-Learning-Modells zur Identifikation von Stoffwechselsyndrom bei 822 chinesischen 12–15-Jährigen anhand von Beschleunigungsmesser-Daten und Körperzusammensetzung.</w:t>
      </w:r>
    </w:p>
    <w:p>
      <w:r>
        <w:rPr>
          <w:b/>
        </w:rPr>
        <w:t xml:space="preserve">Ergebnis: </w:t>
      </w:r>
      <w:r>
        <w:t>Extra-Trees-Modell erreichte AUC 0,864 im internen Test-Set, Genauigkeit 92,02%, Spezifität 93,33%, Sensitivität 76,92%; SHAP identifizierte Körperfettanteil (0,08) und moderate körperliche Aktivität (0,04) als Hauptprädiktor – externe Validierung noch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Chinesische Schulsample; konzeptionell auf deutsche SchulScreenings übertragbar, aber noch keine Multicentrierung.</w:t>
      </w:r>
    </w:p>
    <w:p>
      <w:r>
        <w:rPr>
          <w:color w:val="5A7D3A"/>
          <w:sz w:val="18"/>
        </w:rPr>
        <w:t>https://pubmed.ncbi.nlm.nih.gov/42824331/</w:t>
      </w:r>
    </w:p>
    <w:p>
      <w:pPr>
        <w:pStyle w:val="Heading2"/>
      </w:pPr>
      <w:r>
        <w:t>Digitale Hypertonie-Lernplattform (iHEC) in der ärztlichen Weiterbildung: Effekt auf Lernleistung</w:t>
      </w:r>
    </w:p>
    <w:p>
      <w:r>
        <w:rPr>
          <w:i/>
          <w:color w:val="666666"/>
          <w:sz w:val="18"/>
        </w:rPr>
        <w:t>Xie D et al.  ·  Front Public Health  ·  17.09.2026  ·  PMID 42824199</w:t>
      </w:r>
    </w:p>
    <w:p>
      <w:r>
        <w:t>Retrospektive Kohortenstudie mit 245 Assistenzärztinnen zu Effekten einer KI-gestützten hypertensiven Lehr-Plattform auf klinische Prüfungsleistung, Wissenserwerb, selbstgesteuertes Lernen und Kritisches Denken.</w:t>
      </w:r>
    </w:p>
    <w:p>
      <w:r>
        <w:rPr>
          <w:b/>
        </w:rPr>
        <w:t xml:space="preserve">Ergebnis: </w:t>
      </w:r>
      <w:r>
        <w:t>iHEC-Kohorte zeigte höhere OSCE-Scores (AMD 6,85, 95% CI 5,12–8,58, p&lt;0,001), Wissenswerte (AMD 5,42, p&lt;0,001), Selbstlern-Readiness (AMD 9,86, p&lt;0,001) und kritisches Denken (AMD 12,45, p&lt;0,001); strukturelle Pfadanalyse zeigte, dass selbstgesteuertes Lernen 51,4% des Effekts erklärte.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Chinesische tertiäre Klinik; Konzept zur Kompetenzentwicklung auf deutsche Weiterbildung übertragbar.</w:t>
      </w:r>
    </w:p>
    <w:p>
      <w:r>
        <w:rPr>
          <w:color w:val="5A7D3A"/>
          <w:sz w:val="18"/>
        </w:rPr>
        <w:t>https://pubmed.ncbi.nlm.nih.gov/42824199/</w:t>
      </w:r>
    </w:p>
    <w:p>
      <w:pPr>
        <w:pStyle w:val="Heading2"/>
      </w:pPr>
      <w:r>
        <w:t>Machine Learning für Antimikrobienresistenz-Surveillance: Systematische Übersicht über One-Health-Anwendungen</w:t>
      </w:r>
    </w:p>
    <w:p>
      <w:r>
        <w:rPr>
          <w:i/>
          <w:color w:val="666666"/>
          <w:sz w:val="18"/>
        </w:rPr>
        <w:t>Rabbani SA et al.  ·  Front Public Health  ·  17.09.2026  ·  PMID 42824150</w:t>
      </w:r>
    </w:p>
    <w:p>
      <w:r>
        <w:t>Scoping Review zu Machine-Learning-Methoden zur Antimikrobienresistenz-Überwachung über Klinik, Genomik, Umwelt und One-Health-Systeme, mit Bewertung von Validierung und klinischer Implementierungsreife.</w:t>
      </w:r>
    </w:p>
    <w:p>
      <w:r>
        <w:rPr>
          <w:b/>
        </w:rPr>
        <w:t xml:space="preserve">Ergebnis: </w:t>
      </w:r>
      <w:r>
        <w:t>Von 66 eingeschlossenen Studien berichteten 76% Diskriminanzfähigkeit und 63% Explainability, aber nur 37% externe/temporale Validierung, 12% Kalibrierung und 2% prospektive Evaluation mit gemessenem klinischem Impact – technische Machbarkeit weit überwiegend, operative Einsatzreife begrenzt.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Gesundheitssysteme; Fokus auf Validierungsdefizite auch hierzulande relevant.</w:t>
      </w:r>
    </w:p>
    <w:p>
      <w:r>
        <w:rPr>
          <w:color w:val="5A7D3A"/>
          <w:sz w:val="18"/>
        </w:rPr>
        <w:t>https://pubmed.ncbi.nlm.nih.gov/42824150/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2026-10-04T06:00:00Z</dcterms:created>
  <dcterms:modified xsi:type="dcterms:W3CDTF">2026-10-04T06:00:00Z</dcterms:modified>
  <cp:category/>
</cp:coreProperties>
</file>