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27.09.2026  |  6 Studien  |  ki.m-vf.de</w:t>
      </w:r>
    </w:p>
    <w:p>
      <w:pPr>
        <w:pStyle w:val="Heading1"/>
      </w:pPr>
      <w:r>
        <w:t>Aufgenommen am 27.09.2026</w:t>
      </w:r>
    </w:p>
    <w:p>
      <w:pPr>
        <w:pStyle w:val="Heading2"/>
      </w:pPr>
      <w:r>
        <w:t>Telemedizin bei TIA: Patientenerfahrungen mit virtuellen gegenüber face-to-face Kliniken</w:t>
      </w:r>
    </w:p>
    <w:p>
      <w:r>
        <w:rPr>
          <w:i/>
          <w:color w:val="666666"/>
          <w:sz w:val="18"/>
        </w:rPr>
        <w:t>Heath J et al.  ·  BMC Health Serv Res  ·  14.09.2026  ·  PMID 42791572</w:t>
      </w:r>
    </w:p>
    <w:p>
      <w:r>
        <w:t>Qualitative Studie (Interviews mit 15 Patienten und 12 Klinikern in England) zur Erfahrung mit virtuellen und persönlichen TIA-Kliniken während und nach COVID-19.</w:t>
      </w:r>
    </w:p>
    <w:p>
      <w:r>
        <w:rPr>
          <w:b/>
        </w:rPr>
        <w:t xml:space="preserve">Ergebnis: </w:t>
      </w:r>
      <w:r>
        <w:t>Patienten bewerteten persönliche Konsultationen stärker als virtuell (Themenschwerpunkt: "Bedeutung, gesehen zu werden"). Fachleute identifizierten Vorteile beider Modelle, erkennen aber auch klare Grenzen virtueller Versorgung für bildgebungsbedürftige Patienten und bei komplexer Diagnostik an.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NHS-System; Befunde zur Patientenpräferenz übertragbar auf Deutschland</w:t>
      </w:r>
    </w:p>
    <w:p>
      <w:r>
        <w:rPr>
          <w:color w:val="5A7D3A"/>
          <w:sz w:val="18"/>
        </w:rPr>
        <w:t>https://pubmed.ncbi.nlm.nih.gov/42791572/</w:t>
      </w:r>
    </w:p>
    <w:p>
      <w:pPr>
        <w:pStyle w:val="Heading2"/>
      </w:pPr>
      <w:r>
        <w:t>Anforderungen von Eltern an digitale Anwendungen in der chronischen Kinderversorgung</w:t>
      </w:r>
    </w:p>
    <w:p>
      <w:r>
        <w:rPr>
          <w:i/>
          <w:color w:val="666666"/>
          <w:sz w:val="18"/>
        </w:rPr>
        <w:t>Grüter H et al.  ·  BMC Pediatr  ·  22.09.2026  ·  PMID 42791522</w:t>
      </w:r>
    </w:p>
    <w:p>
      <w:r>
        <w:t>Scoping Review (39 Studien zu eHealth in der Pädiatrie, 2010–2025) zur Synthese elterlicher Bedarfe und Erfahrungen mit digitalen Anwendungen für Kinder mit chronischen Erkrankungen.</w:t>
      </w:r>
    </w:p>
    <w:p>
      <w:r>
        <w:rPr>
          <w:b/>
        </w:rPr>
        <w:t xml:space="preserve">Ergebnis: </w:t>
      </w:r>
      <w:r>
        <w:t>Eltern fordern nutzungsfreundliche Schnittstellen, verlässliche Informationen, Koordinationsfunktionen und soziale Unterstützung; sie berichteten positive Erfahrungen mit Apps und Videokonferenzen für Monitoring und Empowerment, beklagten aber technische Hürden und Angst vor weniger persönlichem Kontakt. Evidenzlücken zu Übergangsphasen.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Mehrsprachig, deutschsprachige Institutionen beteiligt, querschnittlich übertragbar</w:t>
      </w:r>
    </w:p>
    <w:p>
      <w:r>
        <w:rPr>
          <w:color w:val="5A7D3A"/>
          <w:sz w:val="18"/>
        </w:rPr>
        <w:t>https://pubmed.ncbi.nlm.nih.gov/42791522/</w:t>
      </w:r>
    </w:p>
    <w:p>
      <w:pPr>
        <w:pStyle w:val="Heading2"/>
      </w:pPr>
      <w:r>
        <w:t>MotherHeat-Alert App: Wärmeschutz und Usability bei schwangeren Frauen in Südafrika</w:t>
      </w:r>
    </w:p>
    <w:p>
      <w:r>
        <w:rPr>
          <w:i/>
          <w:color w:val="666666"/>
          <w:sz w:val="18"/>
        </w:rPr>
        <w:t>Heil CS et al.  ·  JMIR Mhealth Uhealth  ·  25.09.2026  ·  PMID 42790880</w:t>
      </w:r>
    </w:p>
    <w:p>
      <w:r>
        <w:t>Prospektive Beobachtungsstudie (201 schwangere/postpartale Frauen über 6 Monate) zur Usability und Effektivität einer mobilen Hitzewarnanwendung.</w:t>
      </w:r>
    </w:p>
    <w:p>
      <w:r>
        <w:rPr>
          <w:b/>
        </w:rPr>
        <w:t xml:space="preserve">Ergebnis: </w:t>
      </w:r>
      <w:r>
        <w:t>Usability-Scores hoch (PSSUQ-Mittelwert 1,76 bei Schwangeren, 1,37 bei Postpartalen). Selbstberichtete Verhaltensänderung durch Alarme: groß bis sehr groß bei 67 % Schwangerer und 83 % Postpartaler. Aber Abbruchquote 30 % / 19 % und Rückgang der Schutzverhalten von Baseline zu Endpoint (wahrscheinlich saisonal). Wissenszuwachs: 79–88 % berichteten Verbesserung.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Südafrika, andere Infrastruktur; Methodologie und Usability-Befunde teilweise übertragbar</w:t>
      </w:r>
    </w:p>
    <w:p>
      <w:r>
        <w:rPr>
          <w:color w:val="5A7D3A"/>
          <w:sz w:val="18"/>
        </w:rPr>
        <w:t>https://pubmed.ncbi.nlm.nih.gov/42790880/</w:t>
      </w:r>
    </w:p>
    <w:p>
      <w:pPr>
        <w:pStyle w:val="Heading2"/>
      </w:pPr>
      <w:r>
        <w:t>KI-Mammographie-Modelle in geplanter und ungeplanter Anwendung: externe Validierung</w:t>
      </w:r>
    </w:p>
    <w:p>
      <w:r>
        <w:rPr>
          <w:i/>
          <w:color w:val="666666"/>
          <w:sz w:val="18"/>
        </w:rPr>
        <w:t>Wang YK et al.  ·  Radiol Imaging Cancer  ·  Sept. 2026  ·  PMID 42788883</w:t>
      </w:r>
    </w:p>
    <w:p>
      <w:r>
        <w:t>Retrospektive Studie (20.187 Mammographien aus Schweden, 2008–2016) zum Vergleich von vier KI-Detektions- und Risiko-Modellen in beabsichtigter und nicht-beabsichtigter Anwendung über einen Screening-Durchgang.</w:t>
      </w:r>
    </w:p>
    <w:p>
      <w:r>
        <w:rPr>
          <w:b/>
        </w:rPr>
        <w:t xml:space="preserve">Ergebnis: </w:t>
      </w:r>
      <w:r>
        <w:t>Transpara Detection und Risk zeigten beste AUC (0,92 bzw. 0,81), Transpara Detection mit höchster Spezifität (97,1 %). Modelle erreichten beste Leistung in ihrer angestrebten Einsatzsituation; Risiko-Modelle für Intervallkarzinome: 49,8 % Sensitivität bei 90 % Spezifität. Generalisierung außerhalb der Designeinsatzbedingung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klinische Klinikdaten, europäische Struktur ähnlich Deutschland</w:t>
      </w:r>
    </w:p>
    <w:p>
      <w:r>
        <w:rPr>
          <w:color w:val="5A7D3A"/>
          <w:sz w:val="18"/>
        </w:rPr>
        <w:t>https://pubmed.ncbi.nlm.nih.gov/42788883/</w:t>
      </w:r>
    </w:p>
    <w:p>
      <w:pPr>
        <w:pStyle w:val="Heading2"/>
      </w:pPr>
      <w:r>
        <w:t>Datenschutz-Vokabulare für Deutschlands Gesundheitsdatennutzungsgesetz</w:t>
      </w:r>
    </w:p>
    <w:p>
      <w:r>
        <w:rPr>
          <w:i/>
          <w:color w:val="666666"/>
          <w:sz w:val="18"/>
        </w:rPr>
        <w:t>Flake J et al.  ·  Stud Health Technol Inform  ·  17.09.2026  ·  PMID 42752493</w:t>
      </w:r>
    </w:p>
    <w:p>
      <w:r>
        <w:t>Entwicklung und Integration einer DPV-Erweiterung (W3C Data Privacy Vocabulary) für deutsches Gesundheitsdatennutzungsgesetz (GDNG) und europäischen Gesundheitsdatenraum (EHDS) zur maschinenlesbaren Beschreibung von Datenrichtlinien.</w:t>
      </w:r>
    </w:p>
    <w:p>
      <w:r>
        <w:rPr>
          <w:b/>
        </w:rPr>
        <w:t xml:space="preserve">Ergebnis: </w:t>
      </w:r>
      <w:r>
        <w:t>DPV-Erweiterung für GDNG in DPV 2.3 (Februar 2026) veröffentlicht. Parallele Entwicklung mit EHDS-Erweiterung generierte überlagernde Konzepte; sektorale Gesundheitserweiterung als Grundlage für zukünftige EHDS-Mitgliedstaaten etabliert. Offene Frage: praktische Akzeptanz bei Datenhaltern und Forschungsinstitutionen.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Recht, europäische Interoperabilität; direkt relevant für Implementierung</w:t>
      </w:r>
    </w:p>
    <w:p>
      <w:r>
        <w:rPr>
          <w:color w:val="5A7D3A"/>
          <w:sz w:val="18"/>
        </w:rPr>
        <w:t>https://pubmed.ncbi.nlm.nih.gov/42752493/</w:t>
      </w:r>
    </w:p>
    <w:p>
      <w:pPr>
        <w:pStyle w:val="Heading2"/>
      </w:pPr>
      <w:r>
        <w:t>Lokal einsetzbarer FHIR-Validierungsdienst für föderierte Gesundheitsdateninfrastrukturen</w:t>
      </w:r>
    </w:p>
    <w:p>
      <w:r>
        <w:rPr>
          <w:i/>
          <w:color w:val="666666"/>
          <w:sz w:val="18"/>
        </w:rPr>
        <w:t>Saß J et al.  ·  Stud Health Technol Inform  ·  17.09.2026  ·  PMID 42752471</w:t>
      </w:r>
    </w:p>
    <w:p>
      <w:r>
        <w:t>Technischer Fallbericht zur Entwicklung und Umsetzung eines lokal versetzbaren FHIR-Validierungsdienstes in der Medizinischen Informatik Initiative (MII) für verteilte Dateninfrastrukturen.</w:t>
      </w:r>
    </w:p>
    <w:p>
      <w:r>
        <w:rPr>
          <w:b/>
        </w:rPr>
        <w:t xml:space="preserve">Ergebnis: </w:t>
      </w:r>
      <w:r>
        <w:t>Containerisierter Validierungsdienst verbindet HL7-Validator mit konfigurierbarem Terminology-Service. Automatisierte Conformance-Tests gegen MII-Implementation-Guides möglich. Reproduzierbare FHIR-Validierung durch standardisierte Bereitstellung erreicht; Limitationen: unvollständiger oder fehlender Terminologie-Datenbestand. Prototyp einsatzfähig, Produktivbewertung ausstehend.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MII-Infrastruktur, direkt auf Versorgungsinfrastruktur anwendbar</w:t>
      </w:r>
    </w:p>
    <w:p>
      <w:r>
        <w:rPr>
          <w:color w:val="5A7D3A"/>
          <w:sz w:val="18"/>
        </w:rPr>
        <w:t>https://pubmed.ncbi.nlm.nih.gov/42752471/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2026-09-27T06:00:00Z</dcterms:created>
  <dcterms:modified xsi:type="dcterms:W3CDTF">2026-09-27T06:00:00Z</dcterms:modified>
  <cp:category/>
</cp:coreProperties>
</file>