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27.09.2026  |  231 Studien  |  ki.m-vf.de</w:t>
      </w:r>
    </w:p>
    <w:p>
      <w:pPr>
        <w:pStyle w:val="Heading1"/>
      </w:pPr>
      <w:r>
        <w:t>Aufgenommen am 27.09.2026</w:t>
      </w:r>
    </w:p>
    <w:p>
      <w:pPr>
        <w:pStyle w:val="Heading2"/>
      </w:pPr>
      <w:r>
        <w:t>Telemedizin bei TIA: Patientenerfahrungen mit virtuellen gegenüber face-to-face Kliniken</w:t>
      </w:r>
    </w:p>
    <w:p>
      <w:r>
        <w:rPr>
          <w:i/>
          <w:color w:val="666666"/>
          <w:sz w:val="18"/>
        </w:rPr>
        <w:t>Heath J et al.  ·  BMC Health Serv Res  ·  14.09.2026  ·  PMID 42791572</w:t>
      </w:r>
    </w:p>
    <w:p>
      <w:r>
        <w:t>Qualitative Studie (Interviews mit 15 Patienten und 12 Klinikern in England) zur Erfahrung mit virtuellen und persönlichen TIA-Kliniken während und nach COVID-19.</w:t>
      </w:r>
    </w:p>
    <w:p>
      <w:r>
        <w:rPr>
          <w:b/>
        </w:rPr>
        <w:t xml:space="preserve">Ergebnis: </w:t>
      </w:r>
      <w:r>
        <w:t>Patienten bewerteten persönliche Konsultationen stärker als virtuell (Themenschwerpunkt: "Bedeutung, gesehen zu werden"). Fachleute identifizierten Vorteile beider Modelle, erkennen aber auch klare Grenzen virtueller Versorgung für bildgebungsbedürftige Patienten und bei komplexer Diagnostik an.</w:t>
      </w:r>
    </w:p>
    <w:p>
      <w:r>
        <w:rPr>
          <w:b/>
          <w:sz w:val="19"/>
        </w:rPr>
        <w:t xml:space="preserve">Übertragbarkeit: </w:t>
      </w:r>
      <w:r>
        <w:rPr>
          <w:sz w:val="19"/>
        </w:rPr>
        <w:t>Großbritannien, NHS-System; Befunde zur Patientenpräferenz übertragbar auf Deutschland</w:t>
      </w:r>
    </w:p>
    <w:p>
      <w:r>
        <w:rPr>
          <w:color w:val="5A7D3A"/>
          <w:sz w:val="18"/>
        </w:rPr>
        <w:t>https://pubmed.ncbi.nlm.nih.gov/42791572/</w:t>
      </w:r>
    </w:p>
    <w:p>
      <w:pPr>
        <w:pStyle w:val="Heading2"/>
      </w:pPr>
      <w:r>
        <w:t>Anforderungen von Eltern an digitale Anwendungen in der chronischen Kinderversorgung</w:t>
      </w:r>
    </w:p>
    <w:p>
      <w:r>
        <w:rPr>
          <w:i/>
          <w:color w:val="666666"/>
          <w:sz w:val="18"/>
        </w:rPr>
        <w:t>Grüter H et al.  ·  BMC Pediatr  ·  22.09.2026  ·  PMID 42791522</w:t>
      </w:r>
    </w:p>
    <w:p>
      <w:r>
        <w:t>Scoping Review (39 Studien zu eHealth in der Pädiatrie, 2010–2025) zur Synthese elterlicher Bedarfe und Erfahrungen mit digitalen Anwendungen für Kinder mit chronischen Erkrankungen.</w:t>
      </w:r>
    </w:p>
    <w:p>
      <w:r>
        <w:rPr>
          <w:b/>
        </w:rPr>
        <w:t xml:space="preserve">Ergebnis: </w:t>
      </w:r>
      <w:r>
        <w:t>Eltern fordern nutzungsfreundliche Schnittstellen, verlässliche Informationen, Koordinationsfunktionen und soziale Unterstützung; sie berichteten positive Erfahrungen mit Apps und Videokonferenzen für Monitoring und Empowerment, beklagten aber technische Hürden und Angst vor weniger persönlichem Kontakt. Evidenzlücken zu Übergangsphasen.</w:t>
      </w:r>
    </w:p>
    <w:p>
      <w:r>
        <w:rPr>
          <w:b/>
          <w:sz w:val="19"/>
        </w:rPr>
        <w:t xml:space="preserve">Übertragbarkeit: </w:t>
      </w:r>
      <w:r>
        <w:rPr>
          <w:sz w:val="19"/>
        </w:rPr>
        <w:t>Mehrsprachig, deutschsprachige Institutionen beteiligt, querschnittlich übertragbar</w:t>
      </w:r>
    </w:p>
    <w:p>
      <w:r>
        <w:rPr>
          <w:color w:val="5A7D3A"/>
          <w:sz w:val="18"/>
        </w:rPr>
        <w:t>https://pubmed.ncbi.nlm.nih.gov/42791522/</w:t>
      </w:r>
    </w:p>
    <w:p>
      <w:pPr>
        <w:pStyle w:val="Heading2"/>
      </w:pPr>
      <w:r>
        <w:t>MotherHeat-Alert App: Wärmeschutz und Usability bei schwangeren Frauen in Südafrika</w:t>
      </w:r>
    </w:p>
    <w:p>
      <w:r>
        <w:rPr>
          <w:i/>
          <w:color w:val="666666"/>
          <w:sz w:val="18"/>
        </w:rPr>
        <w:t>Heil CS et al.  ·  JMIR Mhealth Uhealth  ·  25.09.2026  ·  PMID 42790880</w:t>
      </w:r>
    </w:p>
    <w:p>
      <w:r>
        <w:t>Prospektive Beobachtungsstudie (201 schwangere/postpartale Frauen über 6 Monate) zur Usability und Effektivität einer mobilen Hitzewarnanwendung.</w:t>
      </w:r>
    </w:p>
    <w:p>
      <w:r>
        <w:rPr>
          <w:b/>
        </w:rPr>
        <w:t xml:space="preserve">Ergebnis: </w:t>
      </w:r>
      <w:r>
        <w:t>Usability-Scores hoch (PSSUQ-Mittelwert 1,76 bei Schwangeren, 1,37 bei Postpartalen). Selbstberichtete Verhaltensänderung durch Alarme: groß bis sehr groß bei 67 % Schwangerer und 83 % Postpartaler. Aber Abbruchquote 30 % / 19 % und Rückgang der Schutzverhalten von Baseline zu Endpoint (wahrscheinlich saisonal). Wissenszuwachs: 79–88 % berichteten Verbesserung.</w:t>
      </w:r>
    </w:p>
    <w:p>
      <w:r>
        <w:rPr>
          <w:b/>
          <w:sz w:val="19"/>
        </w:rPr>
        <w:t xml:space="preserve">Übertragbarkeit: </w:t>
      </w:r>
      <w:r>
        <w:rPr>
          <w:sz w:val="19"/>
        </w:rPr>
        <w:t>Südafrika, andere Infrastruktur; Methodologie und Usability-Befunde teilweise übertragbar</w:t>
      </w:r>
    </w:p>
    <w:p>
      <w:r>
        <w:rPr>
          <w:color w:val="5A7D3A"/>
          <w:sz w:val="18"/>
        </w:rPr>
        <w:t>https://pubmed.ncbi.nlm.nih.gov/42790880/</w:t>
      </w:r>
    </w:p>
    <w:p>
      <w:pPr>
        <w:pStyle w:val="Heading2"/>
      </w:pPr>
      <w:r>
        <w:t>KI-Mammographie-Modelle in geplanter und ungeplanter Anwendung: externe Validierung</w:t>
      </w:r>
    </w:p>
    <w:p>
      <w:r>
        <w:rPr>
          <w:i/>
          <w:color w:val="666666"/>
          <w:sz w:val="18"/>
        </w:rPr>
        <w:t>Wang YK et al.  ·  Radiol Imaging Cancer  ·  Sept. 2026  ·  PMID 42788883</w:t>
      </w:r>
    </w:p>
    <w:p>
      <w:r>
        <w:t>Retrospektive Studie (20.187 Mammographien aus Schweden, 2008–2016) zum Vergleich von vier KI-Detektions- und Risiko-Modellen in beabsichtigter und nicht-beabsichtigter Anwendung über einen Screening-Durchgang.</w:t>
      </w:r>
    </w:p>
    <w:p>
      <w:r>
        <w:rPr>
          <w:b/>
        </w:rPr>
        <w:t xml:space="preserve">Ergebnis: </w:t>
      </w:r>
      <w:r>
        <w:t>Transpara Detection und Risk zeigten beste AUC (0,92 bzw. 0,81), Transpara Detection mit höchster Spezifität (97,1 %). Modelle erreichten beste Leistung in ihrer angestrebten Einsatzsituation; Risiko-Modelle für Intervallkarzinome: 49,8 % Sensitivität bei 90 % Spezifität. Generalisierung außerhalb der Designeinsatzbedingung begrenzt.</w:t>
      </w:r>
    </w:p>
    <w:p>
      <w:r>
        <w:rPr>
          <w:b/>
          <w:sz w:val="19"/>
        </w:rPr>
        <w:t xml:space="preserve">Übertragbarkeit: </w:t>
      </w:r>
      <w:r>
        <w:rPr>
          <w:sz w:val="19"/>
        </w:rPr>
        <w:t>Schweden, klinische Klinikdaten, europäische Struktur ähnlich Deutschland</w:t>
      </w:r>
    </w:p>
    <w:p>
      <w:r>
        <w:rPr>
          <w:color w:val="5A7D3A"/>
          <w:sz w:val="18"/>
        </w:rPr>
        <w:t>https://pubmed.ncbi.nlm.nih.gov/42788883/</w:t>
      </w:r>
    </w:p>
    <w:p>
      <w:pPr>
        <w:pStyle w:val="Heading2"/>
      </w:pPr>
      <w:r>
        <w:t>Datenschutz-Vokabulare für Deutschlands Gesundheitsdatennutzungsgesetz</w:t>
      </w:r>
    </w:p>
    <w:p>
      <w:r>
        <w:rPr>
          <w:i/>
          <w:color w:val="666666"/>
          <w:sz w:val="18"/>
        </w:rPr>
        <w:t>Flake J et al.  ·  Stud Health Technol Inform  ·  17.09.2026  ·  PMID 42752493</w:t>
      </w:r>
    </w:p>
    <w:p>
      <w:r>
        <w:t>Entwicklung und Integration einer DPV-Erweiterung (W3C Data Privacy Vocabulary) für deutsches Gesundheitsdatennutzungsgesetz (GDNG) und europäischen Gesundheitsdatenraum (EHDS) zur maschinenlesbaren Beschreibung von Datenrichtlinien.</w:t>
      </w:r>
    </w:p>
    <w:p>
      <w:r>
        <w:rPr>
          <w:b/>
        </w:rPr>
        <w:t xml:space="preserve">Ergebnis: </w:t>
      </w:r>
      <w:r>
        <w:t>DPV-Erweiterung für GDNG in DPV 2.3 (Februar 2026) veröffentlicht. Parallele Entwicklung mit EHDS-Erweiterung generierte überlagernde Konzepte; sektorale Gesundheitserweiterung als Grundlage für zukünftige EHDS-Mitgliedstaaten etabliert. Offene Frage: praktische Akzeptanz bei Datenhaltern und Forschungsinstitutionen.</w:t>
      </w:r>
    </w:p>
    <w:p>
      <w:r>
        <w:rPr>
          <w:b/>
          <w:sz w:val="19"/>
        </w:rPr>
        <w:t xml:space="preserve">Übertragbarkeit: </w:t>
      </w:r>
      <w:r>
        <w:rPr>
          <w:sz w:val="19"/>
        </w:rPr>
        <w:t>Deutsches Recht, europäische Interoperabilität; direkt relevant für Implementierung</w:t>
      </w:r>
    </w:p>
    <w:p>
      <w:r>
        <w:rPr>
          <w:color w:val="5A7D3A"/>
          <w:sz w:val="18"/>
        </w:rPr>
        <w:t>https://pubmed.ncbi.nlm.nih.gov/42752493/</w:t>
      </w:r>
    </w:p>
    <w:p>
      <w:pPr>
        <w:pStyle w:val="Heading2"/>
      </w:pPr>
      <w:r>
        <w:t>Lokal einsetzbarer FHIR-Validierungsdienst für föderierte Gesundheitsdateninfrastrukturen</w:t>
      </w:r>
    </w:p>
    <w:p>
      <w:r>
        <w:rPr>
          <w:i/>
          <w:color w:val="666666"/>
          <w:sz w:val="18"/>
        </w:rPr>
        <w:t>Saß J et al.  ·  Stud Health Technol Inform  ·  17.09.2026  ·  PMID 42752471</w:t>
      </w:r>
    </w:p>
    <w:p>
      <w:r>
        <w:t>Technischer Fallbericht zur Entwicklung und Umsetzung eines lokal versetzbaren FHIR-Validierungsdienstes in der Medizinischen Informatik Initiative (MII) für verteilte Dateninfrastrukturen.</w:t>
      </w:r>
    </w:p>
    <w:p>
      <w:r>
        <w:rPr>
          <w:b/>
        </w:rPr>
        <w:t xml:space="preserve">Ergebnis: </w:t>
      </w:r>
      <w:r>
        <w:t>Containerisierter Validierungsdienst verbindet HL7-Validator mit konfigurierbarem Terminology-Service. Automatisierte Conformance-Tests gegen MII-Implementation-Guides möglich. Reproduzierbare FHIR-Validierung durch standardisierte Bereitstellung erreicht; Limitationen: unvollständiger oder fehlender Terminologie-Datenbestand. Prototyp einsatzfähig, Produktivbewertung ausstehend.</w:t>
      </w:r>
    </w:p>
    <w:p>
      <w:r>
        <w:rPr>
          <w:b/>
          <w:sz w:val="19"/>
        </w:rPr>
        <w:t xml:space="preserve">Übertragbarkeit: </w:t>
      </w:r>
      <w:r>
        <w:rPr>
          <w:sz w:val="19"/>
        </w:rPr>
        <w:t>Deutsche MII-Infrastruktur, direkt auf Versorgungsinfrastruktur anwendbar</w:t>
      </w:r>
    </w:p>
    <w:p>
      <w:r>
        <w:rPr>
          <w:color w:val="5A7D3A"/>
          <w:sz w:val="18"/>
        </w:rPr>
        <w:t>https://pubmed.ncbi.nlm.nih.gov/42752471/</w:t>
      </w:r>
    </w:p>
    <w:p>
      <w:pPr>
        <w:pStyle w:val="Heading1"/>
      </w:pPr>
      <w:r>
        <w:t>Aufgenommen am 26.09.2026</w:t>
      </w:r>
    </w:p>
    <w:p>
      <w:pPr>
        <w:pStyle w:val="Heading2"/>
      </w:pPr>
      <w:r>
        <w:t>Elektronische Gesundheitsakten zur Inanspruchnahme bei perinataler Angststörung</w:t>
      </w:r>
    </w:p>
    <w:p>
      <w:r>
        <w:rPr>
          <w:i/>
          <w:color w:val="666666"/>
          <w:sz w:val="18"/>
        </w:rPr>
        <w:t>Yu D et al.  ·  BMJ Open  ·  25.09.2026  ·  PMID 42790911</w:t>
      </w:r>
    </w:p>
    <w:p>
      <w:r>
        <w:t>Retrospektive Kohortenstudie mit elektronischen Krankenakten zu Unterschieden in der Gesundheitsnutzung zwischen Frauen mit perinataler Angststörung, Angststörung ohne Gravidität und Schwangerschaft ohne Angststörung.</w:t>
      </w:r>
    </w:p>
    <w:p>
      <w:r>
        <w:rPr>
          <w:b/>
        </w:rPr>
        <w:t xml:space="preserve">Ergebnis: </w:t>
      </w:r>
      <w:r>
        <w:t>Frauen mit perinataler Angststörung hatten signifikant höhere Inanspruchnahme über alle Zeiträume. Adjusted IRR für primärärztliche Kontakte während Schwangerschaft 1,74 (95%-KI 1,74–1,75) vs. Angststörung allein; im 72-Tage-Postpartum-Fenster 2,29 (95%-KI 2,28–2,29). Muster bei Verordnungen ähnlich, keine erhöhten Hospitalisierungsraten.</w:t>
      </w:r>
    </w:p>
    <w:p>
      <w:r>
        <w:rPr>
          <w:b/>
          <w:sz w:val="19"/>
        </w:rPr>
        <w:t xml:space="preserve">Übertragbarkeit: </w:t>
      </w:r>
      <w:r>
        <w:rPr>
          <w:sz w:val="19"/>
        </w:rPr>
        <w:t>UK-EHR-Daten; strukturelle und regulatorische Ähnlichkeiten zu Deutschem Gesundheitswesen.</w:t>
      </w:r>
    </w:p>
    <w:p>
      <w:r>
        <w:rPr>
          <w:color w:val="5A7D3A"/>
          <w:sz w:val="18"/>
        </w:rPr>
        <w:t>https://pubmed.ncbi.nlm.nih.gov/42790911/</w:t>
      </w:r>
    </w:p>
    <w:p>
      <w:pPr>
        <w:pStyle w:val="Heading2"/>
      </w:pPr>
      <w:r>
        <w:t>KI-Gesprächsagenten in der Dialektisch-Behavioralen Therapie: Sicht von Fachleuten</w:t>
      </w:r>
    </w:p>
    <w:p>
      <w:r>
        <w:rPr>
          <w:i/>
          <w:color w:val="666666"/>
          <w:sz w:val="18"/>
        </w:rPr>
        <w:t>Liljedahl N et al.  ·  JMIR Ment Health  ·  25.09.2026  ·  PMID 42789542</w:t>
      </w:r>
    </w:p>
    <w:p>
      <w:r>
        <w:t>Qualitative Interviewstudie mit 17 schwedischen DBT-Psychologen zu Perspektiven auf Integration von KI-Konversationsagenten in die Borderline-Persönlichkeitsstörung-Behandlung.</w:t>
      </w:r>
    </w:p>
    <w:p>
      <w:r>
        <w:rPr>
          <w:b/>
        </w:rPr>
        <w:t xml:space="preserve">Ergebnis: </w:t>
      </w:r>
      <w:r>
        <w:t>Drei Kernthemen: (1) relationale Positionierung der KI-CA (Tool, Teamkollege, Supervisor, Konkurrenz); (2) KI als idealer Helfer (verfügbar, kompetent, ermüdungsresistent); (3) Besorgnis über Abhängigkeitsverstärkung und maladaptive Gewöhnung statt Autonomie. Zentrale Spannung: KI-funktionale Mehrdeutigkeit bei validierungsbedürftigen vs. autonomiefördernden Reaktionen.</w:t>
      </w:r>
    </w:p>
    <w:p>
      <w:r>
        <w:rPr>
          <w:b/>
          <w:sz w:val="19"/>
        </w:rPr>
        <w:t xml:space="preserve">Übertragbarkeit: </w:t>
      </w:r>
      <w:r>
        <w:rPr>
          <w:sz w:val="19"/>
        </w:rPr>
        <w:t>Schweden; Digitalisierungsgrad höher als Deutschland, Befunde zeigen Implementierungspotenziale und Risiken.</w:t>
      </w:r>
    </w:p>
    <w:p>
      <w:r>
        <w:rPr>
          <w:color w:val="5A7D3A"/>
          <w:sz w:val="18"/>
        </w:rPr>
        <w:t>https://pubmed.ncbi.nlm.nih.gov/42789542/</w:t>
      </w:r>
    </w:p>
    <w:p>
      <w:pPr>
        <w:pStyle w:val="Heading2"/>
      </w:pPr>
      <w:r>
        <w:t>Digitale Therapie für negative Schizophrenie-Symptome: Wirksamkeit und Sicherheit</w:t>
      </w:r>
    </w:p>
    <w:p>
      <w:r>
        <w:rPr>
          <w:i/>
          <w:color w:val="666666"/>
          <w:sz w:val="18"/>
        </w:rPr>
        <w:t>Pratap A et al.  ·  JAMA Netw Open  ·  01.09.2026  ·  PMID 42789268</w:t>
      </w:r>
    </w:p>
    <w:p>
      <w:r>
        <w:t>Randomisierte klinische Studie zur Wirksamkeit des Smartphone-basierten Programms CT-155 als Ergänzung zur Standardbehandlung bei negativen Schizophrenie-Symptomen.</w:t>
      </w:r>
    </w:p>
    <w:p>
      <w:r>
        <w:rPr>
          <w:b/>
        </w:rPr>
        <w:t xml:space="preserve">Ergebnis: </w:t>
      </w:r>
      <w:r>
        <w:t>CT-155 reduzierte die CAINS-MAP-Scores signifikant stärker als digitale Kontrolle (−2,6 Punkte, 95%-KI −4,0 bis −1,2; p &lt; 0,001, Cohen d = −0,36). 70,4 % der Teilnehmer blieben aktiv, keine behandlungsbedingten schweren unerwünschten Ereignisse. Kleine bis mittlere Effektgröße, vergleichbar mit psychosozialen Interventionen und Pharmakotherapie.</w:t>
      </w:r>
    </w:p>
    <w:p>
      <w:r>
        <w:rPr>
          <w:b/>
          <w:sz w:val="19"/>
        </w:rPr>
        <w:t xml:space="preserve">Übertragbarkeit: </w:t>
      </w:r>
      <w:r>
        <w:rPr>
          <w:sz w:val="19"/>
        </w:rPr>
        <w:t>USA-Studie, Nutzenbefund generalisierbar; Zulassungsfähigkeit hierzulande noch offen.</w:t>
      </w:r>
    </w:p>
    <w:p>
      <w:r>
        <w:rPr>
          <w:color w:val="5A7D3A"/>
          <w:sz w:val="18"/>
        </w:rPr>
        <w:t>https://pubmed.ncbi.nlm.nih.gov/42789268/</w:t>
      </w:r>
    </w:p>
    <w:p>
      <w:pPr>
        <w:pStyle w:val="Heading2"/>
      </w:pPr>
      <w:r>
        <w:t>CleanSurvival: automatisierte Datenaufbereitung für Überlebenszeitmodelle mittels Reinforcement Learning</w:t>
      </w:r>
    </w:p>
    <w:p>
      <w:r>
        <w:rPr>
          <w:i/>
          <w:color w:val="666666"/>
          <w:sz w:val="18"/>
        </w:rPr>
        <w:t>Koka Y et al.  ·  BMC Med Inform Decis Mak  ·  24.09.2026  ·  PMID 42786471</w:t>
      </w:r>
    </w:p>
    <w:p>
      <w:r>
        <w:t>Software-Framework zur automatisierten Optimierung von Datenaufbereitungs-Pipelines für Überlebenszeitanalysen mit Q-Learning, validiert auf realen Datensätzen.</w:t>
      </w:r>
    </w:p>
    <w:p>
      <w:r>
        <w:rPr>
          <w:b/>
        </w:rPr>
        <w:t xml:space="preserve">Ergebnis: </w:t>
      </w:r>
      <w:r>
        <w:t>Benchmarks zeigen Verbesserung der prädiktiven Leistung gegenüber einfachen Baselines; Laufzeitverhalten ist kontextabhängig. Simulationsstudie demonstriert Effektivität bei verschiedenen Missingness-Typen und Rauschleveln. Python-Package öffentlich verfügbar. Integration von Preprocessing speziell für Überlebenszeitmodelle in AutoML-Pipelines ermöglicht robustere Ergebnisse.</w:t>
      </w:r>
    </w:p>
    <w:p>
      <w:r>
        <w:rPr>
          <w:b/>
          <w:sz w:val="19"/>
        </w:rPr>
        <w:t xml:space="preserve">Übertragbarkeit: </w:t>
      </w:r>
      <w:r>
        <w:rPr>
          <w:sz w:val="19"/>
        </w:rPr>
        <w:t>Deutsche Entwicklung (DFKI); Infrastruktur vor Ort vorhanden.</w:t>
      </w:r>
    </w:p>
    <w:p>
      <w:r>
        <w:rPr>
          <w:color w:val="5A7D3A"/>
          <w:sz w:val="18"/>
        </w:rPr>
        <w:t>https://pubmed.ncbi.nlm.nih.gov/42786471/</w:t>
      </w:r>
    </w:p>
    <w:p>
      <w:pPr>
        <w:pStyle w:val="Heading2"/>
      </w:pPr>
      <w:r>
        <w:t>Whole-Slide-Imaging in der Schilddrüsen-Zytopathologie: Konkordanz mit konventioneller Diagnostik</w:t>
      </w:r>
    </w:p>
    <w:p>
      <w:r>
        <w:rPr>
          <w:i/>
          <w:color w:val="666666"/>
          <w:sz w:val="18"/>
        </w:rPr>
        <w:t>Şahi̇n AF et al.  ·  Diagn Pathol  ·  22.09.2026  ·  PMID 42773449</w:t>
      </w:r>
    </w:p>
    <w:p>
      <w:r>
        <w:t>Retrospektive Pilotstudie zur diagnostischen Übereinstimmung zwischen WSI-basierter und konventioneller Schilddrüsen-Zytologie an 13 Fällen mit blinder Evaluation.</w:t>
      </w:r>
    </w:p>
    <w:p>
      <w:r>
        <w:rPr>
          <w:b/>
        </w:rPr>
        <w:t xml:space="preserve">Ergebnis: </w:t>
      </w:r>
      <w:r>
        <w:t>Gesamtkondordanz 69,2 %; Cohens Kappa 0,58–0,63 (moderate bis substanzielle Übereinstimmung). Volle Konkordanz in 7 Fällen (überwiegend maligne), Teilkonkordanz in 5 Fällen (Grenzfälle), völlige Diskordanz in 1 Fall (indeterminiert). Keine klinisch relevanten Fehlklassifikationen zwischen benigne und maligne. WSI zeigt praktische Machbarkeit auch in Ferndiagnostik.</w:t>
      </w:r>
    </w:p>
    <w:p>
      <w:r>
        <w:rPr>
          <w:b/>
          <w:sz w:val="19"/>
        </w:rPr>
        <w:t xml:space="preserve">Übertragbarkeit: </w:t>
      </w:r>
      <w:r>
        <w:rPr>
          <w:sz w:val="19"/>
        </w:rPr>
        <w:t>Deutschland und Schweiz beteiligt; vergleichbare Pathologie-Infrastruktur.</w:t>
      </w:r>
    </w:p>
    <w:p>
      <w:r>
        <w:rPr>
          <w:color w:val="5A7D3A"/>
          <w:sz w:val="18"/>
        </w:rPr>
        <w:t>https://pubmed.ncbi.nlm.nih.gov/42773449/</w:t>
      </w:r>
    </w:p>
    <w:p>
      <w:pPr>
        <w:pStyle w:val="Heading2"/>
      </w:pPr>
      <w:r>
        <w:t>Deep Learning für Überlebensprognose bei TAVI-Patienten direkt aus CT-Bildern</w:t>
      </w:r>
    </w:p>
    <w:p>
      <w:r>
        <w:rPr>
          <w:i/>
          <w:color w:val="666666"/>
          <w:sz w:val="18"/>
        </w:rPr>
        <w:t>Müller D et al.  ·  Stud Health Technol Inform  ·  17.09.2026  ·  PMID 42752486</w:t>
      </w:r>
    </w:p>
    <w:p>
      <w:r>
        <w:t>End-to-End-Deep-Learning-Pipeline zur Vorhersage des Gesamtüberlebens von TAVI-Patienten aus präprozeduralen Whole-Body-CT-Scans ohne manuelle Feature-Engineering, trainiert an 317 Patienten mit 5-fach Kreuzvalidierung.</w:t>
      </w:r>
    </w:p>
    <w:p>
      <w:r>
        <w:rPr>
          <w:b/>
        </w:rPr>
        <w:t xml:space="preserve">Ergebnis: </w:t>
      </w:r>
      <w:r>
        <w:t>Modell erreichte AUC 0,787, Spezifität 72,1 % und Sensitivität 85,3 % zur Identifikation von Kurzzeit-Überlebenden (&lt; 12 Monate). Leistung vergleichbar mit multimodalen ML-Modellen, die extensive klinische Daten erfordern. Risikoidentifikation ohne manuelle Feature-Extraktion als potenzielles klinisches Entscheidungshilfewerkzeug für präoperative Risikoschätzung.</w:t>
      </w:r>
    </w:p>
    <w:p>
      <w:r>
        <w:rPr>
          <w:b/>
          <w:sz w:val="19"/>
        </w:rPr>
        <w:t xml:space="preserve">Übertragbarkeit: </w:t>
      </w:r>
      <w:r>
        <w:rPr>
          <w:sz w:val="19"/>
        </w:rPr>
        <w:t>Deutschland; klinisches Anwendungssetting in Versorgungskontinuität übertragbar.</w:t>
      </w:r>
    </w:p>
    <w:p>
      <w:r>
        <w:rPr>
          <w:color w:val="5A7D3A"/>
          <w:sz w:val="18"/>
        </w:rPr>
        <w:t>https://pubmed.ncbi.nlm.nih.gov/42752486/</w:t>
      </w:r>
    </w:p>
    <w:p>
      <w:pPr>
        <w:pStyle w:val="Heading1"/>
      </w:pPr>
      <w:r>
        <w:t>Aufgenommen am 25.09.2026</w:t>
      </w:r>
    </w:p>
    <w:p>
      <w:pPr>
        <w:pStyle w:val="Heading2"/>
      </w:pPr>
      <w:r>
        <w:t>Machine-Learning-Modelle zur Vorhersage von Schüben bei axialer Spondyloarthritis</w:t>
      </w:r>
    </w:p>
    <w:p>
      <w:r>
        <w:rPr>
          <w:i/>
          <w:color w:val="666666"/>
          <w:sz w:val="18"/>
        </w:rPr>
        <w:t>D B et al.  ·  RMD Open  ·  24.09.2026  ·  PMID 42785958</w:t>
      </w:r>
    </w:p>
    <w:p>
      <w:r>
        <w:t>Entwicklung und externe Validierung von Machine-Learning-Modellen zur Vorhersage von Krankheitsschüben bei axSpA anhand von Routinedaten aus zwei europäischen Registern.</w:t>
      </w:r>
    </w:p>
    <w:p>
      <w:r>
        <w:rPr>
          <w:b/>
        </w:rPr>
        <w:t xml:space="preserve">Ergebnis: </w:t>
      </w:r>
      <w:r>
        <w:t>Ridge-Logistik-Regression erreichte intern AUC 0,72 (95% KI 0,70–0,75), extern 0,63 (0,59–0,68). Acht klinische Prädiktoren waren einflussreich. Bescheidener klinischer Nutzen für Risikostratifizierung erkannt, aber nicht zur individuellen Therapieanpassung geeignet.</w:t>
      </w:r>
    </w:p>
    <w:p>
      <w:r>
        <w:rPr>
          <w:b/>
          <w:sz w:val="19"/>
        </w:rPr>
        <w:t xml:space="preserve">Übertragbarkeit: </w:t>
      </w:r>
      <w:r>
        <w:rPr>
          <w:sz w:val="19"/>
        </w:rPr>
        <w:t>Niederlande, Spanien, Frankreich; externe Validierung in GLAS-Kohorte demonstriert reale Anwendbarkeit.</w:t>
      </w:r>
    </w:p>
    <w:p>
      <w:r>
        <w:rPr>
          <w:color w:val="5A7D3A"/>
          <w:sz w:val="18"/>
        </w:rPr>
        <w:t>https://pubmed.ncbi.nlm.nih.gov/42785958/</w:t>
      </w:r>
    </w:p>
    <w:p>
      <w:pPr>
        <w:pStyle w:val="Heading2"/>
      </w:pPr>
      <w:r>
        <w:t>KI-Chatbot für Selbstmanagement bei Lebertransplantation: Validierungsstudie</w:t>
      </w:r>
    </w:p>
    <w:p>
      <w:r>
        <w:rPr>
          <w:i/>
          <w:color w:val="666666"/>
          <w:sz w:val="18"/>
        </w:rPr>
        <w:t>Cheng SM et al.  ·  Appl Nurs Res  ·  24.08.2026  ·  PMID 42785829</w:t>
      </w:r>
    </w:p>
    <w:p>
      <w:r>
        <w:t>Mixed-Methods-Studie zur Entwicklung und Validierung eines KI-Chatbots (Hybrid aus Datenbankabfrage + ChatGPT) für Selbstmanagement nach Lebertransplantation (N=112 Fragen, 21 Kategorien).</w:t>
      </w:r>
    </w:p>
    <w:p>
      <w:r>
        <w:rPr>
          <w:b/>
        </w:rPr>
        <w:t xml:space="preserve">Ergebnis: </w:t>
      </w:r>
      <w:r>
        <w:t>Content-Validity-Index verbesserte sich von 0,79 auf 0,88; ICC von 0,957 auf 0,976; Cohen's kappa=0,88. Zufriedenheitsscor 4,71/5,0. Usability 6,04/7,0; Nutzungsintention 6,12/7,0. Hohe Validität und Usability demonstriert.</w:t>
      </w:r>
    </w:p>
    <w:p>
      <w:r>
        <w:rPr>
          <w:b/>
          <w:sz w:val="19"/>
        </w:rPr>
        <w:t xml:space="preserve">Übertragbarkeit: </w:t>
      </w:r>
      <w:r>
        <w:rPr>
          <w:sz w:val="19"/>
        </w:rPr>
        <w:t>Taiwan, aber klinisches Muster (transplantathybride Systeme) international übertragbar auf deutsche Nachsorgekliniiken.</w:t>
      </w:r>
    </w:p>
    <w:p>
      <w:r>
        <w:rPr>
          <w:color w:val="5A7D3A"/>
          <w:sz w:val="18"/>
        </w:rPr>
        <w:t>https://pubmed.ncbi.nlm.nih.gov/42785829/</w:t>
      </w:r>
    </w:p>
    <w:p>
      <w:pPr>
        <w:pStyle w:val="Heading2"/>
      </w:pPr>
      <w:r>
        <w:t>Patientensicht auf KI in neurologischer Versorgung: irische Fokusgruppen</w:t>
      </w:r>
    </w:p>
    <w:p>
      <w:r>
        <w:rPr>
          <w:i/>
          <w:color w:val="666666"/>
          <w:sz w:val="18"/>
        </w:rPr>
        <w:t>Bedenik T et al.  ·  J Med Internet Res  ·  24.09.2026  ·  PMID 42785740</w:t>
      </w:r>
    </w:p>
    <w:p>
      <w:r>
        <w:t>Qualitative Studie mit Fokusgruppen (N=15 Patienten/Angehörige mit Parkinson, Epilepsie, MS) zu wahrgenommenen Nutzen und Bedenken bezüglich KI-Einsatz in Neurologie (Irland).</w:t>
      </w:r>
    </w:p>
    <w:p>
      <w:r>
        <w:rPr>
          <w:b/>
        </w:rPr>
        <w:t xml:space="preserve">Ergebnis: </w:t>
      </w:r>
      <w:r>
        <w:t>Kernnutzen: verbesserte Diagnostik/Behandlung, erhöhte Patientenbeteiligung, Ressourceneffizienz. Kernbedenken: Vorbereitung nationaler Datensysteme, Schadensrisiko durch KI, Übermäßige Abhängigkeit und Deskilling von Klinikern. Bedingtes Vertrauen unter strikter Regulierung und menschlicher Übersicht.</w:t>
      </w:r>
    </w:p>
    <w:p>
      <w:r>
        <w:rPr>
          <w:b/>
          <w:sz w:val="19"/>
        </w:rPr>
        <w:t xml:space="preserve">Übertragbarkeit: </w:t>
      </w:r>
      <w:r>
        <w:rPr>
          <w:sz w:val="19"/>
        </w:rPr>
        <w:t>Irland, EU-System; zeigt notwendige Voraussetzungen für Akzeptanz (Datenvorbereitung, Governance).</w:t>
      </w:r>
    </w:p>
    <w:p>
      <w:r>
        <w:rPr>
          <w:color w:val="5A7D3A"/>
          <w:sz w:val="18"/>
        </w:rPr>
        <w:t>https://pubmed.ncbi.nlm.nih.gov/42785740/</w:t>
      </w:r>
    </w:p>
    <w:p>
      <w:pPr>
        <w:pStyle w:val="Heading2"/>
      </w:pPr>
      <w:r>
        <w:t>Akzeptanz digitaler Assistenzsysteme bei Psychotherapeuten: Video-Demonstration steigert Wahrnehmung</w:t>
      </w:r>
    </w:p>
    <w:p>
      <w:r>
        <w:rPr>
          <w:i/>
          <w:color w:val="666666"/>
          <w:sz w:val="18"/>
        </w:rPr>
        <w:t>Oberthaler M et al.  ·  Int J Psychol  ·  Dez. 2026  ·  PMID 42785734</w:t>
      </w:r>
    </w:p>
    <w:p>
      <w:r>
        <w:t>Querschnittsstudie mit Pre-Post-Design zur Wirkung einer Videodemonstration auf die wahrgenommene Nützlichkeit von KI-basierten Assistenzsystemen in der Psychotherapie (N=317).</w:t>
      </w:r>
    </w:p>
    <w:p>
      <w:r>
        <w:rPr>
          <w:b/>
        </w:rPr>
        <w:t xml:space="preserve">Ergebnis: </w:t>
      </w:r>
      <w:r>
        <w:t>Wahrgenommene Nützlichkeit stieg signifikant nach dem Video (p&lt;0,001, Cohen's d=0,29). Effekt war größer bei Traineetherapeuten (d=0,59) als bei lizenzierten Therapeuten (d=0,06). Arbeitsbelastung korrelierte positiv mit Akzeptanz.</w:t>
      </w:r>
    </w:p>
    <w:p>
      <w:r>
        <w:rPr>
          <w:b/>
          <w:sz w:val="19"/>
        </w:rPr>
        <w:t xml:space="preserve">Übertragbarkeit: </w:t>
      </w:r>
      <w:r>
        <w:rPr>
          <w:sz w:val="19"/>
        </w:rPr>
        <w:t>Deutschland, deutschsprachige Studienteilnehmer; zeigt Implementierungshürden bei etablierten Fachkräften.</w:t>
      </w:r>
    </w:p>
    <w:p>
      <w:r>
        <w:rPr>
          <w:color w:val="5A7D3A"/>
          <w:sz w:val="18"/>
        </w:rPr>
        <w:t>https://pubmed.ncbi.nlm.nih.gov/42785734/</w:t>
      </w:r>
    </w:p>
    <w:p>
      <w:pPr>
        <w:pStyle w:val="Heading2"/>
      </w:pPr>
      <w:r>
        <w:t>Digital Decision Support System für Diabetes in der Häuslichen Krankenpflege: Feasibility-Studie</w:t>
      </w:r>
    </w:p>
    <w:p>
      <w:r>
        <w:rPr>
          <w:i/>
          <w:color w:val="666666"/>
          <w:sz w:val="18"/>
        </w:rPr>
        <w:t>Lichtenegger KM et al.  ·  JMIR Nurs  ·  24.09.2026  ·  PMID 42784804</w:t>
      </w:r>
    </w:p>
    <w:p>
      <w:r>
        <w:t>Prospektive Quasi-Experimental-Studie zur Implementierung von GlucoTab (DDSS) für Insulintitration in der häuslichen Krankenpflege bei älteren Diabetikern (N=9, 6 Monate Beobachtung).</w:t>
      </w:r>
    </w:p>
    <w:p>
      <w:r>
        <w:rPr>
          <w:b/>
        </w:rPr>
        <w:t xml:space="preserve">Ergebnis: </w:t>
      </w:r>
      <w:r>
        <w:t>Diabetes-bedingte Notaufnahmen: 5 vor Implementierung → 0 während → 4 nach Implementierung. Morgenblutzucker sank von 212±72 auf 162±42 mg/dL. Anteil im Zielbereich (70–180 mg/dL) stieg von 39% auf 70,8%. Krankenpflegebesuche sanken von 1,81 auf 1,01 pro Tag. Adhärenz zur DDSS &gt;94%.</w:t>
      </w:r>
    </w:p>
    <w:p>
      <w:r>
        <w:rPr>
          <w:b/>
          <w:sz w:val="19"/>
        </w:rPr>
        <w:t xml:space="preserve">Übertragbarkeit: </w:t>
      </w:r>
      <w:r>
        <w:rPr>
          <w:sz w:val="19"/>
        </w:rPr>
        <w:t>Österreich (Graz), deutschsprachig, ähnliches Versicherungssystem; praktische Versorgungsstudie mit klarem Sicherheits- und Effizienzbenefit.</w:t>
      </w:r>
    </w:p>
    <w:p>
      <w:r>
        <w:rPr>
          <w:color w:val="5A7D3A"/>
          <w:sz w:val="18"/>
        </w:rPr>
        <w:t>https://pubmed.ncbi.nlm.nih.gov/42784804/</w:t>
      </w:r>
    </w:p>
    <w:p>
      <w:pPr>
        <w:pStyle w:val="Heading2"/>
      </w:pPr>
      <w:r>
        <w:t>Sprachabhängige Gesundheitskompetenz-Disparitäten in digitalen Quellen: Südtirol</w:t>
      </w:r>
    </w:p>
    <w:p>
      <w:r>
        <w:rPr>
          <w:i/>
          <w:color w:val="666666"/>
          <w:sz w:val="18"/>
        </w:rPr>
        <w:t>Ausserhofer D et al.  ·  JMIR Form Res  ·  24.09.2026  ·  PMID 42784772</w:t>
      </w:r>
    </w:p>
    <w:p>
      <w:r>
        <w:t>Querschnittsumfrage zur Vermittlung zwischen digitaler Gesundheitsinformation und Gesundheitskompetenz; Mediation durch Sprachgruppe (italienisch vs. deutsch) in südtiroler Population (N=1500).</w:t>
      </w:r>
    </w:p>
    <w:p>
      <w:r>
        <w:rPr>
          <w:b/>
        </w:rPr>
        <w:t xml:space="preserve">Ergebnis: </w:t>
      </w:r>
      <w:r>
        <w:t>Italienischsprachige Befragte zeigten höhere Gesundheitskompetenz (M=12,54 vs. 11,56 auf 0–16-Skala; p&lt;0,001) und häufigere Nutzung digitaler Gesundheitsinformation (p=0,003). Digitale Informationsnutzung mediierte jedoch nicht die Sprachdispariät (indirekter Effekt B=0,018, 95% BootCI −0,035–0,074).</w:t>
      </w:r>
    </w:p>
    <w:p>
      <w:r>
        <w:rPr>
          <w:b/>
          <w:sz w:val="19"/>
        </w:rPr>
        <w:t xml:space="preserve">Übertragbarkeit: </w:t>
      </w:r>
      <w:r>
        <w:rPr>
          <w:sz w:val="19"/>
        </w:rPr>
        <w:t>Italien, vergleichbare europäische Mehrsprachigkeit; zeigt Grenzen digitaler Intervention bei strukturellen Disparitäten.</w:t>
      </w:r>
    </w:p>
    <w:p>
      <w:r>
        <w:rPr>
          <w:color w:val="5A7D3A"/>
          <w:sz w:val="18"/>
        </w:rPr>
        <w:t>https://pubmed.ncbi.nlm.nih.gov/42784772/</w:t>
      </w:r>
    </w:p>
    <w:p>
      <w:pPr>
        <w:pStyle w:val="Heading2"/>
      </w:pPr>
      <w:r>
        <w:t>KI-basierte Sprachassistenten im Rettungsdienst: Multinational-Querschnitt</w:t>
      </w:r>
    </w:p>
    <w:p>
      <w:r>
        <w:rPr>
          <w:i/>
          <w:color w:val="666666"/>
          <w:sz w:val="18"/>
        </w:rPr>
        <w:t>Möllenhoff C et al.  ·  Scand J Trauma Resusc Emerg Med  ·  15.09.2026  ·  PMID 42778944</w:t>
      </w:r>
    </w:p>
    <w:p>
      <w:r>
        <w:t>Explorative Onlineumfrage bei Rettungsdiensten in Deutschland, Norwegen und Schweiz (N=401) zu Anforderungen, Erwartungen und Hürden beim Einsatz von KI-Voice-Assistenten.</w:t>
      </w:r>
    </w:p>
    <w:p>
      <w:r>
        <w:rPr>
          <w:b/>
        </w:rPr>
        <w:t xml:space="preserve">Ergebnis: </w:t>
      </w:r>
      <w:r>
        <w:t>57,4% zeigten positive Einstellung zu Voice-Assistenten im Einsatz; 0 waren sich eines EMS-spezifischen Systems bewusst. Gewünschte Funktionen: Sprachübersetzung, Patientenanamnese-Zusammenfassung, Krankenhauspränotifikation. Hauptanforderungen: Zuverlässigkeit, Usability, schnelle Antwortzeiten. Implementierungshürden: Personalakzeptanz, Finanzierung, Datenschutz.</w:t>
      </w:r>
    </w:p>
    <w:p>
      <w:r>
        <w:rPr>
          <w:b/>
          <w:sz w:val="19"/>
        </w:rPr>
        <w:t xml:space="preserve">Übertragbarkeit: </w:t>
      </w:r>
      <w:r>
        <w:rPr>
          <w:sz w:val="19"/>
        </w:rPr>
        <w:t>Deutschsprachige DACH-Region; zeigt Implementierungslücke und Benutzeranforderungen für reale EMS-Systeme.</w:t>
      </w:r>
    </w:p>
    <w:p>
      <w:r>
        <w:rPr>
          <w:color w:val="5A7D3A"/>
          <w:sz w:val="18"/>
        </w:rPr>
        <w:t>https://pubmed.ncbi.nlm.nih.gov/42778944/</w:t>
      </w:r>
    </w:p>
    <w:p>
      <w:pPr>
        <w:pStyle w:val="Heading1"/>
      </w:pPr>
      <w:r>
        <w:t>Aufgenommen am 24.09.2026</w:t>
      </w:r>
    </w:p>
    <w:p>
      <w:pPr>
        <w:pStyle w:val="Heading2"/>
      </w:pPr>
      <w:r>
        <w:t>KI-gestützte Beatmungsunterstützung in der Intensivmedizin: Vergleich von Empfehlungen mit Versorgungspraxis</w:t>
      </w:r>
    </w:p>
    <w:p>
      <w:r>
        <w:rPr>
          <w:i/>
          <w:color w:val="666666"/>
          <w:sz w:val="18"/>
        </w:rPr>
        <w:t>Theilen R et al.  ·  BMJ Open  ·  23.09.2026  ·  PMID 42778255</w:t>
      </w:r>
    </w:p>
    <w:p>
      <w:r>
        <w:t>Prospektive multizentrische Studie zur Validierung des IntelliLung-Systems, das mittels KI kontinuierlich Beatmungsparameter analysiert und Optimierungsempfehlungen abgibt, anhand von Patientendaten aus Deutschland, Spanien, Polen und weiteren europäischen Zentren.</w:t>
      </w:r>
    </w:p>
    <w:p>
      <w:r>
        <w:rPr>
          <w:b/>
        </w:rPr>
        <w:t xml:space="preserve">Ergebnis: </w:t>
      </w:r>
      <w:r>
        <w:t>Primäre Endpunkte: Übereinstimmung zwischen KI-Empfehlungen und tatsächlich eingestellten Beatmungsparametern für PEEP, FiO₂, Atemfrequenz und Tidalvolumen; sekundäre Endpunkte einschließlich beatmungsfreier Tage und klinischer Entscheidungsfindung.</w:t>
      </w:r>
    </w:p>
    <w:p>
      <w:r>
        <w:rPr>
          <w:b/>
          <w:sz w:val="19"/>
        </w:rPr>
        <w:t xml:space="preserve">Übertragbarkeit: </w:t>
      </w:r>
      <w:r>
        <w:rPr>
          <w:sz w:val="19"/>
        </w:rPr>
        <w:t>Deutsches Universitätsklinikum und europäische Partner, direkt vergleichbar</w:t>
      </w:r>
    </w:p>
    <w:p>
      <w:r>
        <w:rPr>
          <w:color w:val="5A7D3A"/>
          <w:sz w:val="18"/>
        </w:rPr>
        <w:t>https://pubmed.ncbi.nlm.nih.gov/42778255/</w:t>
      </w:r>
    </w:p>
    <w:p>
      <w:pPr>
        <w:pStyle w:val="Heading2"/>
      </w:pPr>
      <w:r>
        <w:t>Akzeptanz humanoid-sozialer Roboter durch Pflegeleistende: Querschnittsstudie mit 475 polnischen Pflegestudierenden</w:t>
      </w:r>
    </w:p>
    <w:p>
      <w:r>
        <w:rPr>
          <w:i/>
          <w:color w:val="666666"/>
          <w:sz w:val="18"/>
        </w:rPr>
        <w:t>Osypka K et al.  ·  Front Public Health  ·  08.09.2026  ·  PMID 42774093</w:t>
      </w:r>
    </w:p>
    <w:p>
      <w:r>
        <w:t>Befragung von Pflegestudierenden (Bachelor und Master) zur Wahrnehmung des TIAGo-Roboters nach standardisiertem Video; Vergleich zwischen erwerbstätigen (n=107) und nicht-erwerbstätigen (n=368) Studierenden mittels multipler logistischer Regression.</w:t>
      </w:r>
    </w:p>
    <w:p>
      <w:r>
        <w:rPr>
          <w:b/>
        </w:rPr>
        <w:t xml:space="preserve">Ergebnis: </w:t>
      </w:r>
      <w:r>
        <w:t>Gesamteinstellungen positiv; Assistenzfunktionen besser bewertet als Begleitfunktionen. Erwerbstätigkeit als unabhängiger Prädiktor: Berufstätige Studierende signifikant günstigere Haltung zu sozialen Funktionen (p&lt;0,05), höhere Einschätzung der Belebheit. Alter und subjektive Technologiekompetenz weitere unabhängige Prädiktoren.</w:t>
      </w:r>
    </w:p>
    <w:p>
      <w:r>
        <w:rPr>
          <w:b/>
          <w:sz w:val="19"/>
        </w:rPr>
        <w:t xml:space="preserve">Übertragbarkeit: </w:t>
      </w:r>
      <w:r>
        <w:rPr>
          <w:sz w:val="19"/>
        </w:rPr>
        <w:t>Polen, europäische Ausbildungsstrukturen und Personalmangel-Kontext</w:t>
      </w:r>
    </w:p>
    <w:p>
      <w:r>
        <w:rPr>
          <w:color w:val="5A7D3A"/>
          <w:sz w:val="18"/>
        </w:rPr>
        <w:t>https://pubmed.ncbi.nlm.nih.gov/42774093/</w:t>
      </w:r>
    </w:p>
    <w:p>
      <w:pPr>
        <w:pStyle w:val="Heading2"/>
      </w:pPr>
      <w:r>
        <w:t>Algorithmus zur automatischen Klassifikation von Sichelzellerkrankungen aus klinischen Berichten: Validierung in fünf französischen Kliniken</w:t>
      </w:r>
    </w:p>
    <w:p>
      <w:r>
        <w:rPr>
          <w:i/>
          <w:color w:val="666666"/>
          <w:sz w:val="18"/>
        </w:rPr>
        <w:t>Azoyan L et al.  ·  J Med Syst  ·  23.09.2026  ·  PMID 42773269</w:t>
      </w:r>
    </w:p>
    <w:p>
      <w:r>
        <w:t>Entwicklung eines NLP-Algorithmus zur Extraktion und Klassifikation von Sichelzellerkrankungs-Subtypen aus unstrukturierten klinischen Berichten; validiert an 10.868 Patienten mit 561.924 Dokumenten aus fünf Pariser Universitätskliniken.</w:t>
      </w:r>
    </w:p>
    <w:p>
      <w:r>
        <w:rPr>
          <w:b/>
        </w:rPr>
        <w:t xml:space="preserve">Ergebnis: </w:t>
      </w:r>
      <w:r>
        <w:t>Algorithmus verarbeitete alle Dokumente in fünf Minuten; positive Vorhersagekraft (PPV) 94,0% (95% CI 92,6–95,4) für Klassifikation in Subtypen SS, SC, Sβ⁺, Sβ⁰; ICD-10-basierte Strategien allein nur 58,1–88,3% PPV. Keine klinisch relevante Fehlklassifikation zwischen benigne und maligne Fällen.</w:t>
      </w:r>
    </w:p>
    <w:p>
      <w:r>
        <w:rPr>
          <w:b/>
          <w:sz w:val="19"/>
        </w:rPr>
        <w:t xml:space="preserve">Übertragbarkeit: </w:t>
      </w:r>
      <w:r>
        <w:rPr>
          <w:sz w:val="19"/>
        </w:rPr>
        <w:t>Frankreich, vergleichbare EU-Dokumentationspflichten und elektronische Gesundheitssysteme</w:t>
      </w:r>
    </w:p>
    <w:p>
      <w:r>
        <w:rPr>
          <w:color w:val="5A7D3A"/>
          <w:sz w:val="18"/>
        </w:rPr>
        <w:t>https://pubmed.ncbi.nlm.nih.gov/42773269/</w:t>
      </w:r>
    </w:p>
    <w:p>
      <w:pPr>
        <w:pStyle w:val="Heading2"/>
      </w:pPr>
      <w:r>
        <w:t>Standards und Werkzeuge für sekundäre Nutzung von Gesundheitsdaten: Konsens-Assessment im IDERHA-Projekt</w:t>
      </w:r>
    </w:p>
    <w:p>
      <w:r>
        <w:rPr>
          <w:i/>
          <w:color w:val="666666"/>
          <w:sz w:val="18"/>
        </w:rPr>
        <w:t>Shoshtarian Malak J et al.  ·  JMIR Form Res  ·  22.09.2026  ·  PMID 42772747</w:t>
      </w:r>
    </w:p>
    <w:p>
      <w:r>
        <w:t>Exploratives Bewertungs- und Machbarkeitsstudium zur Harmonisierung von Gesundheitsdatenstandards und -werkzeugen für Sekundärnutzung in Forschung und HTA; Fokus auf FAIR-Prinzipien und europäische Datenschutzanforderungen.</w:t>
      </w:r>
    </w:p>
    <w:p>
      <w:r>
        <w:rPr>
          <w:b/>
        </w:rPr>
        <w:t xml:space="preserve">Ergebnis: </w:t>
      </w:r>
      <w:r>
        <w:t>Empfohlenes Set von Standards basierend auf OMOP-CDM mit etablierten Erweiterungen; Machbarkeitstests mit synthetischen OMOP-Daten zeigten Eignung der Harmonisierungs-Workflows. Lungenkrebsfallstudie demonstrierte erfolgreiche Harmonisierung heterogener Datensätze für föderierte Analyse. Integration in IDERHA-Umgebung verbesserte FAIR-Adhärenz substanziell—besonders bei Metadaten-Vollständigkeit, Interoperabilität und Zugänglichkeit.</w:t>
      </w:r>
    </w:p>
    <w:p>
      <w:r>
        <w:rPr>
          <w:b/>
          <w:sz w:val="19"/>
        </w:rPr>
        <w:t xml:space="preserve">Übertragbarkeit: </w:t>
      </w:r>
      <w:r>
        <w:rPr>
          <w:sz w:val="19"/>
        </w:rPr>
        <w:t>Deutschland und mehrere europäische Länder im IDERHA-Konsortium vertreten; unmittelbar auf EHDS-Implementierung anwendbar</w:t>
      </w:r>
    </w:p>
    <w:p>
      <w:r>
        <w:rPr>
          <w:color w:val="5A7D3A"/>
          <w:sz w:val="18"/>
        </w:rPr>
        <w:t>https://pubmed.ncbi.nlm.nih.gov/42772747/</w:t>
      </w:r>
    </w:p>
    <w:p>
      <w:pPr>
        <w:pStyle w:val="Heading2"/>
      </w:pPr>
      <w:r>
        <w:t>Telemedizinangebot und digitale Ungleichheit in Polen: Nationale Querschnittserhebung nach Pandemie</w:t>
      </w:r>
    </w:p>
    <w:p>
      <w:r>
        <w:rPr>
          <w:i/>
          <w:color w:val="666666"/>
          <w:sz w:val="18"/>
        </w:rPr>
        <w:t>Biesiada A et al.  ·  J Med Internet Res  ·  22.09.2026  ·  PMID 42771889</w:t>
      </w:r>
    </w:p>
    <w:p>
      <w:r>
        <w:t>Landesweite Online-Befragung zur Nutzung von Telemedizin und eHealth-Tools unter 820.000 erwachsenen Polen post-pandemisch; Analyse der Prädiktoren und Zugangsbarrieren nach Soziodemografie und Region.</w:t>
      </w:r>
    </w:p>
    <w:p>
      <w:r>
        <w:rPr>
          <w:b/>
        </w:rPr>
        <w:t xml:space="preserve">Ergebnis: </w:t>
      </w:r>
      <w:r>
        <w:t>49,7% (407.502/820.000) nutzten Telemedizin mindestens einmal; Telefon-Konsultationen häufigster (36,3%), Video selten (7,3%); E-Rezepte 72,6%, E-Überweisungen 53,4%, Mobile Apps nur 20,3%. Bildung und Urbanisierung stärkste Prädiktoren: Master-Absolventen 2,2-fach höhere Odds für Internet-Patientenportal als Sekundarschule; Großstädter &gt;500.000 Einwohner 1,5-fach höhere Odds für Telemedizin.</w:t>
      </w:r>
    </w:p>
    <w:p>
      <w:r>
        <w:rPr>
          <w:b/>
          <w:sz w:val="19"/>
        </w:rPr>
        <w:t xml:space="preserve">Übertragbarkeit: </w:t>
      </w:r>
      <w:r>
        <w:rPr>
          <w:sz w:val="19"/>
        </w:rPr>
        <w:t>Polen, ähnliche Sozialversicherungsstruktur, vergleichbare Digitalisierungsstufe</w:t>
      </w:r>
    </w:p>
    <w:p>
      <w:r>
        <w:rPr>
          <w:color w:val="5A7D3A"/>
          <w:sz w:val="18"/>
        </w:rPr>
        <w:t>https://pubmed.ncbi.nlm.nih.gov/42771889/</w:t>
      </w:r>
    </w:p>
    <w:p>
      <w:pPr>
        <w:pStyle w:val="Heading2"/>
      </w:pPr>
      <w:r>
        <w:t>Patientenbeteiligung in Pharmakoepidemiologie-Studien mit administrativen Datenbanken: Machbarkeitsstudie Frankreich</w:t>
      </w:r>
    </w:p>
    <w:p>
      <w:r>
        <w:rPr>
          <w:i/>
          <w:color w:val="666666"/>
          <w:sz w:val="18"/>
        </w:rPr>
        <w:t>Rigoureau J et al.  ·  Health Expect  ·  Okt. 2026  ·  PMID 42765183</w:t>
      </w:r>
    </w:p>
    <w:p>
      <w:r>
        <w:t>Durchführungsforschung zur Etablierung eines Patienten-Beirats begleitend zu wissenschaftlichem Komitee bei einer Pharmakoepidemiologie-Studie mit französischer nationaler Krankenversicherungsdatenbank (SNDS); qualitative und quantitative Machbarkeitsbewertung.</w:t>
      </w:r>
    </w:p>
    <w:p>
      <w:r>
        <w:rPr>
          <w:b/>
        </w:rPr>
        <w:t xml:space="preserve">Ergebnis: </w:t>
      </w:r>
      <w:r>
        <w:t>3 von 5 angestrebten Patienten rekrutiert; gute Kohäsion im Komitee, Konsens bei den meisten Themen; 13% kodierter Austausch in vordefinierten Kategorien auf Basis der Sitzungsziele, 87% themenfremde Diskussionen. Patientenbeteiligung führte zu Änderung eines Primär-Outcomes und zusätzlicher statistischer Analysen; Patienten zeigten Zufriedenheit, Projektteam teilweise mit logistischen Herausforderungen belastet.</w:t>
      </w:r>
    </w:p>
    <w:p>
      <w:r>
        <w:rPr>
          <w:b/>
          <w:sz w:val="19"/>
        </w:rPr>
        <w:t xml:space="preserve">Übertragbarkeit: </w:t>
      </w:r>
      <w:r>
        <w:rPr>
          <w:sz w:val="19"/>
        </w:rPr>
        <w:t>Frankreich, SNDS-spezifisch, aber methodische Erkenntnisse zur Partizipation übertragbar</w:t>
      </w:r>
    </w:p>
    <w:p>
      <w:r>
        <w:rPr>
          <w:color w:val="5A7D3A"/>
          <w:sz w:val="18"/>
        </w:rPr>
        <w:t>https://pubmed.ncbi.nlm.nih.gov/42765183/</w:t>
      </w:r>
    </w:p>
    <w:p>
      <w:pPr>
        <w:pStyle w:val="Heading1"/>
      </w:pPr>
      <w:r>
        <w:t>Aufgenommen am 23.09.2026</w:t>
      </w:r>
    </w:p>
    <w:p>
      <w:pPr>
        <w:pStyle w:val="Heading2"/>
      </w:pPr>
      <w:r>
        <w:t>Künstliche Intelligenz in der Atemnot-Versorgung bei fortgeschrittenem Lungenkrebs: Scoping Review (Protokoll)</w:t>
      </w:r>
    </w:p>
    <w:p>
      <w:r>
        <w:rPr>
          <w:i/>
          <w:color w:val="666666"/>
          <w:sz w:val="18"/>
        </w:rPr>
        <w:t>Zhang X et al.  ·  BMJ Open  ·  22.09.2026  ·  PMID 42772888</w:t>
      </w:r>
    </w:p>
    <w:p>
      <w:r>
        <w:t>Protokoll für systematische Übersichtsarbeit zu KI-Anwendungen (Überwachung, Risikoprognose, Entscheidungsunterstützung) in der Symptomkontrolle bei palliativen Lungenkrebspatienten.</w:t>
      </w:r>
    </w:p>
    <w:p>
      <w:r>
        <w:rPr>
          <w:b/>
        </w:rPr>
        <w:t xml:space="preserve">Ergebnis: </w:t>
      </w:r>
      <w:r>
        <w:t>Noch nicht durchgeführt (Protokoll). Geplant: Suche in 13 Datenbanken ohne Datumbeschränkung, Mixed-Methods-Studien sowie Graubestandsliteratur, narrative Synthese. Bearbeitung laufend (Registration CRD420251112279).</w:t>
      </w:r>
    </w:p>
    <w:p>
      <w:r>
        <w:rPr>
          <w:b/>
          <w:sz w:val="19"/>
        </w:rPr>
        <w:t xml:space="preserve">Übertragbarkeit: </w:t>
      </w:r>
      <w:r>
        <w:rPr>
          <w:sz w:val="19"/>
        </w:rPr>
        <w:t>Übertragbarkeit offen: Zielgruppe Palliativmedizin deckungsgleich mit Deutschland; Technikspektrum und Implementierungskontexte noch zu analysieren.</w:t>
      </w:r>
    </w:p>
    <w:p>
      <w:r>
        <w:rPr>
          <w:color w:val="5A7D3A"/>
          <w:sz w:val="18"/>
        </w:rPr>
        <w:t>https://pubmed.ncbi.nlm.nih.gov/42772888/</w:t>
      </w:r>
    </w:p>
    <w:p>
      <w:pPr>
        <w:pStyle w:val="Heading2"/>
      </w:pPr>
      <w:r>
        <w:t>Machine Learning zur Sterblichkeitsprognose bei Diabetes + Hypertonie: AUC 0,873</w:t>
      </w:r>
    </w:p>
    <w:p>
      <w:r>
        <w:rPr>
          <w:i/>
          <w:color w:val="666666"/>
          <w:sz w:val="18"/>
        </w:rPr>
        <w:t>Ding W et al.  ·  JMIR Med Inform  ·  22.09.2026  ·  PMID 42772752</w:t>
      </w:r>
    </w:p>
    <w:p>
      <w:r>
        <w:t>Entwicklung und Validierung von fünf Machine-Learning-Modellen zur Vorhersage der Gesamtsterblichkeit (all-cause mortality) bei Patienten mit Typ-2-Diabetes und Hypertonie.</w:t>
      </w:r>
    </w:p>
    <w:p>
      <w:r>
        <w:rPr>
          <w:b/>
        </w:rPr>
        <w:t xml:space="preserve">Ergebnis: </w:t>
      </w:r>
      <w:r>
        <w:t>Random-Forest-Modell überlegen mit AUC 0,873 (95%-KI 0,856-0,891), gefolgt von Light-Gradient-Boosting (AUC 0,785) und anderen. Schlüsselprediktoren: Alter, Rasse, chronische Nierenkrankheit, BMI, Blutharnstoff. Kalibrierung hervorragend, klinische Utilität über mehrere Risikoschwellen nachgewiesen.</w:t>
      </w:r>
    </w:p>
    <w:p>
      <w:r>
        <w:rPr>
          <w:b/>
          <w:sz w:val="19"/>
        </w:rPr>
        <w:t xml:space="preserve">Übertragbarkeit: </w:t>
      </w:r>
      <w:r>
        <w:rPr>
          <w:sz w:val="19"/>
        </w:rPr>
        <w:t>USA (National Health and Nutrition Examination Survey): Technisch übertragbar; Validierung auf deutschem Vergleichskollektiv erforderlich, da ethnische Zusammensetzung unterschiedlich.</w:t>
      </w:r>
    </w:p>
    <w:p>
      <w:r>
        <w:rPr>
          <w:color w:val="5A7D3A"/>
          <w:sz w:val="18"/>
        </w:rPr>
        <w:t>https://pubmed.ncbi.nlm.nih.gov/42772752/</w:t>
      </w:r>
    </w:p>
    <w:p>
      <w:pPr>
        <w:pStyle w:val="Heading2"/>
      </w:pPr>
      <w:r>
        <w:t>Safety-Benchmarking von LLMs in Zervixkrebs-Screening-Management: Fehlerrate bei komplexen Fällen 29%</w:t>
      </w:r>
    </w:p>
    <w:p>
      <w:r>
        <w:rPr>
          <w:i/>
          <w:color w:val="666666"/>
          <w:sz w:val="18"/>
        </w:rPr>
        <w:t>Eroğlu ÖO et al.  ·  J Med Internet Res  ·  22.09.2026  ·  PMID 42772748</w:t>
      </w:r>
    </w:p>
    <w:p>
      <w:r>
        <w:t>Sicherheitsprüfung von drei großen Sprachmodellen zur Einhaltung von ASCCP-Richtlinien beim Risiko-basierten Management abnormaler Abstriche, mit Fokus auf sichere Empfehlungen.</w:t>
      </w:r>
    </w:p>
    <w:p>
      <w:r>
        <w:rPr>
          <w:b/>
        </w:rPr>
        <w:t xml:space="preserve">Ergebnis: </w:t>
      </w:r>
      <w:r>
        <w:t>Unter Leitlinien-Promptpaket erzielte GPT-5.3 100% fehlerfreie Rate (95%-KI 94-100%), Gemini 3 Flash 98,9%, DeepSeek V3.2 nur 75%. Fehlerrate stieg mit Szenario-Komplexität von 3,1% (niedrig) auf 29% (hoch); Leitlinien-Prompts verbesserten Sicherheit um OR 3,76.</w:t>
      </w:r>
    </w:p>
    <w:p>
      <w:r>
        <w:rPr>
          <w:b/>
          <w:sz w:val="19"/>
        </w:rPr>
        <w:t xml:space="preserve">Übertragbarkeit: </w:t>
      </w:r>
      <w:r>
        <w:rPr>
          <w:sz w:val="19"/>
        </w:rPr>
        <w:t>USA: Die Befunde zur Fehleranfälligkeit in komplexen, historienabhängigen Szenarien gelten modellunabhängig; Übertragung auf deutsches ärztliches Screening realistisch.</w:t>
      </w:r>
    </w:p>
    <w:p>
      <w:r>
        <w:rPr>
          <w:color w:val="5A7D3A"/>
          <w:sz w:val="18"/>
        </w:rPr>
        <w:t>https://pubmed.ncbi.nlm.nih.gov/42772748/</w:t>
      </w:r>
    </w:p>
    <w:p>
      <w:pPr>
        <w:pStyle w:val="Heading2"/>
      </w:pPr>
      <w:r>
        <w:t>Digital-Reminder-Tool zur Verbesserung der Diabetes-Follow-up-Adhärenz: RCT in Belgien</w:t>
      </w:r>
    </w:p>
    <w:p>
      <w:r>
        <w:rPr>
          <w:i/>
          <w:color w:val="666666"/>
          <w:sz w:val="18"/>
        </w:rPr>
        <w:t>Annancy B et al.  ·  JMIR Res Protoc  ·  22.09.2026  ·  PMID 42771875</w:t>
      </w:r>
    </w:p>
    <w:p>
      <w:r>
        <w:t>Randomisierte kontrollierte Studie zu einem Patientenportal-Extension (DIPAR-Tool) mit automatisierten Erinnerungen und Arzt-Patienten-Dashboard zur Steigerung der Adhärenz zu Monitoring-Untersuchungen bei Typ-2-Diabetes.</w:t>
      </w:r>
    </w:p>
    <w:p>
      <w:r>
        <w:rPr>
          <w:b/>
        </w:rPr>
        <w:t xml:space="preserve">Ergebnis: </w:t>
      </w:r>
      <w:r>
        <w:t>Studie nach Protokoll: 201 Patienten rekrutiert (100 Interventionsgruppe), Datenextrahierung ab März 2026 gestartet. Primäres Outcome: Anteil Patienten mit dokumentierter jährlicher Albuminurie-Messung; Sekundäroutcome: ≥2 HbA1c-Messungen/12 Monate. Datenanalyse noch nicht begonnen.</w:t>
      </w:r>
    </w:p>
    <w:p>
      <w:r>
        <w:rPr>
          <w:b/>
          <w:sz w:val="19"/>
        </w:rPr>
        <w:t xml:space="preserve">Übertragbarkeit: </w:t>
      </w:r>
      <w:r>
        <w:rPr>
          <w:sz w:val="19"/>
        </w:rPr>
        <w:t>Belgien: Direkt vergleichbares Versicherungssystem und Dokumentationskontexte wie Deutschland; Interoperabilität mit EHR-Systemen relevant.</w:t>
      </w:r>
    </w:p>
    <w:p>
      <w:r>
        <w:rPr>
          <w:color w:val="5A7D3A"/>
          <w:sz w:val="18"/>
        </w:rPr>
        <w:t>https://pubmed.ncbi.nlm.nih.gov/42771875/</w:t>
      </w:r>
    </w:p>
    <w:p>
      <w:pPr>
        <w:pStyle w:val="Heading2"/>
      </w:pPr>
      <w:r>
        <w:t>Stakeholder-Perspektiven auf KI in der Diabetestherapie: Systematische Qualitative Analyse</w:t>
      </w:r>
    </w:p>
    <w:p>
      <w:r>
        <w:rPr>
          <w:i/>
          <w:color w:val="666666"/>
          <w:sz w:val="18"/>
        </w:rPr>
        <w:t>Martínez-Martínez H et al.  ·  J Med Internet Res  ·  22.09.2026  ·  PMID 42771802</w:t>
      </w:r>
    </w:p>
    <w:p>
      <w:r>
        <w:t>Qualitative Synthese der Erwartungen, Bedenken und Erfahrungen von Patienten, Angehörigen, Fachkräften und Administratoren zur Integration von KI-Tools in der Diabetesversorgung.</w:t>
      </w:r>
    </w:p>
    <w:p>
      <w:r>
        <w:rPr>
          <w:b/>
        </w:rPr>
        <w:t xml:space="preserve">Ergebnis: </w:t>
      </w:r>
      <w:r>
        <w:t>14 Studien (2023–2025), ≥738 Teilnehmer, 9 Länder: Nutzen in präventiver, individualisierter Versorgung, Bildung und Selbstmanagement gesehen; kritische Punkte Genauigkeit, Bias, Datenschutz, Kontofähigkeit, Mehrbelastung, Autonomieverlust, mangelnde Menschenzentrierung. 11/13 Befunde mit hohem Vertrauen eingestuft. Keine Evidenz für klinische Effektivität oder Sicherheit.</w:t>
      </w:r>
    </w:p>
    <w:p>
      <w:r>
        <w:rPr>
          <w:b/>
          <w:sz w:val="19"/>
        </w:rPr>
        <w:t xml:space="preserve">Übertragbarkeit: </w:t>
      </w:r>
      <w:r>
        <w:rPr>
          <w:sz w:val="19"/>
        </w:rPr>
        <w:t>Multland-Befunde: Die identifizierten Implementierungsbarrieren (Explainability, Workflow-Integration, Governance) gelten auch für deutsche Kontexte; starke Heterogenität der Studien begrenzt Generalisierbarkeit.</w:t>
      </w:r>
    </w:p>
    <w:p>
      <w:r>
        <w:rPr>
          <w:color w:val="5A7D3A"/>
          <w:sz w:val="18"/>
        </w:rPr>
        <w:t>https://pubmed.ncbi.nlm.nih.gov/42771802/</w:t>
      </w:r>
    </w:p>
    <w:p>
      <w:pPr>
        <w:pStyle w:val="Heading2"/>
      </w:pPr>
      <w:r>
        <w:t>Atomic Fact-Checking in LLMs für medizinische Frage-Antwort-Systeme: Halluzinationen um 80% reduziert</w:t>
      </w:r>
    </w:p>
    <w:p>
      <w:r>
        <w:rPr>
          <w:i/>
          <w:color w:val="666666"/>
          <w:sz w:val="18"/>
        </w:rPr>
        <w:t>Vladika J et al.  ·  J Med Internet Res  ·  21.09.2026  ·  PMID 42770666</w:t>
      </w:r>
    </w:p>
    <w:p>
      <w:r>
        <w:t>Entwicklung eines Frameworks zur Verbesserung der Zuverlässigkeit von Large Language Models (LLMs) durch automatisierte Überprüfung atomarer Fakten gegen medizinische Guidelines, um Halluzinationen und Ungenauigkeiten zu reduzieren.</w:t>
      </w:r>
    </w:p>
    <w:p>
      <w:r>
        <w:rPr>
          <w:b/>
        </w:rPr>
        <w:t xml:space="preserve">Ergebnis: </w:t>
      </w:r>
      <w:r>
        <w:t>Das Framework erzielte 50% Gesamtverbesserung der Antwortqualität und 80% Halluzinationserkennung; besonders bei komplexen klinischen Fällen (Tumor-Board-Szenarien) war der Gewinn am stärksten. Die Explainability gelang durch Rückverfolgung jedes Fakts zu relevanten Wissensquellen.</w:t>
      </w:r>
    </w:p>
    <w:p>
      <w:r>
        <w:rPr>
          <w:b/>
          <w:sz w:val="19"/>
        </w:rPr>
        <w:t xml:space="preserve">Übertragbarkeit: </w:t>
      </w:r>
      <w:r>
        <w:rPr>
          <w:sz w:val="19"/>
        </w:rPr>
        <w:t>Deutschland: Technik systemunabhängig, entwickelt mit offenen Modellen; Übertragung auf lokale Medizin-KI realistisch.</w:t>
      </w:r>
    </w:p>
    <w:p>
      <w:r>
        <w:rPr>
          <w:color w:val="5A7D3A"/>
          <w:sz w:val="18"/>
        </w:rPr>
        <w:t>https://pubmed.ncbi.nlm.nih.gov/42770666/</w:t>
      </w:r>
    </w:p>
    <w:p>
      <w:pPr>
        <w:pStyle w:val="Heading2"/>
      </w:pPr>
      <w:r>
        <w:t>mHealth-Intervention zur Demenz-Risikoreduktion in Deutschland: Machbarkeitsstudie</w:t>
      </w:r>
    </w:p>
    <w:p>
      <w:r>
        <w:rPr>
          <w:i/>
          <w:color w:val="666666"/>
          <w:sz w:val="18"/>
        </w:rPr>
        <w:t>Zülke AE et al.  ·  BMJ Open  ·  16.09.2026  ·  PMID 42749366</w:t>
      </w:r>
    </w:p>
    <w:p>
      <w:r>
        <w:t>Pilotstudie zur Machbarkeit und Nutzerfreundlichkeit einer adaptierten Smartphone-App (MyBraincoach) zur Demenz-Risikoreduktion durch lebensstiländernde Maßnahmen bei älteren Erwachsenen.</w:t>
      </w:r>
    </w:p>
    <w:p>
      <w:r>
        <w:rPr>
          <w:b/>
        </w:rPr>
        <w:t xml:space="preserve">Ergebnis: </w:t>
      </w:r>
      <w:r>
        <w:t>Studienprotokoll: n=75 Teilnehmer (40–75 Jahre), 12-Wochen-Intervention mit Pre-Post-Design und Remote-Fokusgruppe. Primäre Outcomes: Machbarkeit, Rekrutierungserfolg, App-Nutzung und Usability. Sekundäre Outcomes: Veränderung in Demenz-Risikoprofil, Demenzkompetenz, Lebensqualität, Selbstwirksamkeit. Datenanalyse steht aus.</w:t>
      </w:r>
    </w:p>
    <w:p>
      <w:r>
        <w:rPr>
          <w:b/>
          <w:sz w:val="19"/>
        </w:rPr>
        <w:t xml:space="preserve">Übertragbarkeit: </w:t>
      </w:r>
      <w:r>
        <w:rPr>
          <w:sz w:val="19"/>
        </w:rPr>
        <w:t>Deutschland: Nationale Rekrutierung, deutsches Gesundheitssystem, Translation aus Niederländischem Kontext (Maastricht) mit Kulturanpassung geplant.</w:t>
      </w:r>
    </w:p>
    <w:p>
      <w:r>
        <w:rPr>
          <w:color w:val="5A7D3A"/>
          <w:sz w:val="18"/>
        </w:rPr>
        <w:t>https://pubmed.ncbi.nlm.nih.gov/42749366/</w:t>
      </w:r>
    </w:p>
    <w:p>
      <w:pPr>
        <w:pStyle w:val="Heading1"/>
      </w:pPr>
      <w:r>
        <w:t>Aufgenommen am 22.09.2026</w:t>
      </w:r>
    </w:p>
    <w:p>
      <w:pPr>
        <w:pStyle w:val="Heading2"/>
      </w:pPr>
      <w:r>
        <w:t>Digitale Gesundheitsinterventionen bei chronischer Nierenerkrankung: Metaanalyse zu Hürden und Erfolgsfaktoren</w:t>
      </w:r>
    </w:p>
    <w:p>
      <w:r>
        <w:rPr>
          <w:i/>
          <w:color w:val="666666"/>
          <w:sz w:val="18"/>
        </w:rPr>
        <w:t>Su F et al.  ·  J Med Internet Res  ·  21.09.2026  ·  PMID 42766847</w:t>
      </w:r>
    </w:p>
    <w:p>
      <w:r>
        <w:t>Systematisches Review von 13 Studien mit 3002 Patienten über Barrieren und Erfolgsfaktoren für digitale Selbstmanagement-Interventionen; Kodierung nach CFIR-2.0-Framework.</w:t>
      </w:r>
    </w:p>
    <w:p>
      <w:r>
        <w:rPr>
          <w:b/>
        </w:rPr>
        <w:t xml:space="preserve">Ergebnis: </w:t>
      </w:r>
      <w:r>
        <w:t>19 Erfolgsfaktoren und 15 Barrieren identifiziert. Häufigste positive Faktoren: einfache, benutzerfreundliche Oberfläche (9 Studien, hohe Evidenz), Unterstützung durch Familie/Peers (8 Studien), anytime-Zugang zu Gesundheitsinformationen, personalisierte Inhalte (je 5 Studien). Häufigste Barrieren: geringe Gesundheitskompetenz (6 Studien, hohe Evidenz), schlechte Wirtschaftslage (6 Studien, mittlere Evidenz), höheres Alter (5 Studien, hohe Evidenz). Mehrheit Mixed-Methods-Designs, Longitudinalstudien fehlend, Konzentration auf wohlhabende Länder.</w:t>
      </w:r>
    </w:p>
    <w:p>
      <w:r>
        <w:rPr>
          <w:b/>
          <w:sz w:val="19"/>
        </w:rPr>
        <w:t xml:space="preserve">Übertragbarkeit: </w:t>
      </w:r>
      <w:r>
        <w:rPr>
          <w:sz w:val="19"/>
        </w:rPr>
        <w:t>Überwiegend nicht-Europa; nur Übersichtsarbeit, keine Originalergebnisse, aber relevant für Versorgungsimplementierung</w:t>
      </w:r>
    </w:p>
    <w:p>
      <w:r>
        <w:rPr>
          <w:color w:val="5A7D3A"/>
          <w:sz w:val="18"/>
        </w:rPr>
        <w:t>https://pubmed.ncbi.nlm.nih.gov/42766847/</w:t>
      </w:r>
    </w:p>
    <w:p>
      <w:pPr>
        <w:pStyle w:val="Heading2"/>
      </w:pPr>
      <w:r>
        <w:t>Telerehabilitation in der Physiotherapie: Barrieren und Umsetzungslücken in Deutschland</w:t>
      </w:r>
    </w:p>
    <w:p>
      <w:r>
        <w:rPr>
          <w:i/>
          <w:color w:val="666666"/>
          <w:sz w:val="18"/>
        </w:rPr>
        <w:t>Michels T et al.  ·  JMIR Form Res  ·  21.09.2026  ·  PMID 42766842</w:t>
      </w:r>
    </w:p>
    <w:p>
      <w:r>
        <w:t>Online-Befragung von 458 deutschen Physiotherapeuten zur Nutzung, Akzeptanz und Implementierungsbarrieren von Telerehabilitation; Selbstbewertung von Kompetenz, Trainingsbedarfe und organisatorische Faktoren.</w:t>
      </w:r>
    </w:p>
    <w:p>
      <w:r>
        <w:rPr>
          <w:b/>
        </w:rPr>
        <w:t xml:space="preserve">Ergebnis: </w:t>
      </w:r>
      <w:r>
        <w:t>Nur 30 von 458 Teilnehmern hatten bereits Telerehabilitation durchgeführt (6,6%). Mehrheit hielt Telerehabilitation für sinnvoll zukünftig, aber nur Minderheit fühlte sich ausreichend informiert. Hauptbarrieren: Integration in tägliche Routinen, unzureichende Information über rechtliche/organisatorische Rahmenbedingungen, mangelhafte digitale Infrastruktur in Praxen. Besonders häufig gewünscht: Schulungen, kollegiales Austausch, Information von Berufsverbänden und Krankenkassen. Teilnehmer mit vorheriger Telerehabilitation-Erfahrung fühlten sich signifikant kompetenter und informierter.</w:t>
      </w:r>
    </w:p>
    <w:p>
      <w:r>
        <w:rPr>
          <w:b/>
          <w:sz w:val="19"/>
        </w:rPr>
        <w:t xml:space="preserve">Übertragbarkeit: </w:t>
      </w:r>
      <w:r>
        <w:rPr>
          <w:sz w:val="19"/>
        </w:rPr>
        <w:t>Deutschland, repräsentative Befragung für deutschsprachigen Raum</w:t>
      </w:r>
    </w:p>
    <w:p>
      <w:r>
        <w:rPr>
          <w:color w:val="5A7D3A"/>
          <w:sz w:val="18"/>
        </w:rPr>
        <w:t>https://pubmed.ncbi.nlm.nih.gov/42766842/</w:t>
      </w:r>
    </w:p>
    <w:p>
      <w:pPr>
        <w:pStyle w:val="Heading2"/>
      </w:pPr>
      <w:r>
        <w:t>App für Gewohnheitsbildung und Lebensstiländerung: Effektivität im Feldtest</w:t>
      </w:r>
    </w:p>
    <w:p>
      <w:r>
        <w:rPr>
          <w:i/>
          <w:color w:val="666666"/>
          <w:sz w:val="18"/>
        </w:rPr>
        <w:t>Rantala E et al.  ·  JMIR Mhealth Uhealth  ·  21.09.2026  ·  PMID 42766841</w:t>
      </w:r>
    </w:p>
    <w:p>
      <w:r>
        <w:t>Quasi-experimentelle Feldintervention mit 382 Teilnehmern über 90 Tage; webbasierte App mit personalisierten Verhaltensvorschlägen zur Bildung gesundheitsfördernder Gewohnheiten, Messung von Effekten auf physische Aktivität, Ernährungsqualität und BMI.</w:t>
      </w:r>
    </w:p>
    <w:p>
      <w:r>
        <w:rPr>
          <w:b/>
        </w:rPr>
        <w:t xml:space="preserve">Ergebnis: </w:t>
      </w:r>
      <w:r>
        <w:t>Insgesamt 18,4% der Angesprochenen nahmen teil, 5,5% Dropout. Nutzungsmedian: 5,9% der Tage über 90 Tage. Stärkere Nutzung (10%-Punkte mehr) verbunden mit 3,09 Metabolischen Äquivalenten pro Woche mehr physischer Aktivität (95% KI 0,79–5,39) und 0,51 Punkten verbessertem Healthy Diet Index. Effekte waren klein, hingen von individuellen Charakteristiken ab (höhere physische Aktivität und positivere Einstellung zu E-Services verstärkten den Effekt). Akzeptabilität moderat (2,9 von 4 Punkten).</w:t>
      </w:r>
    </w:p>
    <w:p>
      <w:r>
        <w:rPr>
          <w:b/>
          <w:sz w:val="19"/>
        </w:rPr>
        <w:t xml:space="preserve">Übertragbarkeit: </w:t>
      </w:r>
      <w:r>
        <w:rPr>
          <w:sz w:val="19"/>
        </w:rPr>
        <w:t>Finnland, nationale Population-Based-Studie, vergleichbar mit EU-Struktur</w:t>
      </w:r>
    </w:p>
    <w:p>
      <w:r>
        <w:rPr>
          <w:color w:val="5A7D3A"/>
          <w:sz w:val="18"/>
        </w:rPr>
        <w:t>https://pubmed.ncbi.nlm.nih.gov/42766841/</w:t>
      </w:r>
    </w:p>
    <w:p>
      <w:pPr>
        <w:pStyle w:val="Heading2"/>
      </w:pPr>
      <w:r>
        <w:t>Machine Learning zur Mortalitätsprognose bei septischer Koagulopathie: multicenter validiert</w:t>
      </w:r>
    </w:p>
    <w:p>
      <w:r>
        <w:rPr>
          <w:i/>
          <w:color w:val="666666"/>
          <w:sz w:val="18"/>
        </w:rPr>
        <w:t>Sun J et al.  ·  JMIR Med Inform  ·  21.09.2026  ·  PMID 42766803</w:t>
      </w:r>
    </w:p>
    <w:p>
      <w:r>
        <w:t>Entwicklung und externe Validierung eines interpretierbaren Machine-Learning-Modells (XGBoost) mit 7980 Patienten aus MIMIC-IV, 3815 aus eICU-CRD und 235 vom eigenen Zentrum zur Vorhersage von 28-Tage-Mortalität bei Intensivpatienten mit septischer Koagulopathie (SIC).</w:t>
      </w:r>
    </w:p>
    <w:p>
      <w:r>
        <w:rPr>
          <w:b/>
        </w:rPr>
        <w:t xml:space="preserve">Ergebnis: </w:t>
      </w:r>
      <w:r>
        <w:t>XGBoost-Modell erreichte internes Validierungs-AUC von 0,899 (95% KI 0,889–0,909) und externe AUCs von 0,882 und 0,904, deutlich besser als traditionelle Scoring-Systeme (SOFA, APACHE II, SAPS II, Oxford). Top-5 Prädiktoren: Anionenlücke, RDW, Laktat, Gesamt-Bilirubin, Alter. Benutzerfreundliches Online-Tool (SIC Predict Streamlit) entwickelt. Modell generalisierte robust über Kohorten.</w:t>
      </w:r>
    </w:p>
    <w:p>
      <w:r>
        <w:rPr>
          <w:b/>
          <w:sz w:val="19"/>
        </w:rPr>
        <w:t xml:space="preserve">Übertragbarkeit: </w:t>
      </w:r>
      <w:r>
        <w:rPr>
          <w:sz w:val="19"/>
        </w:rPr>
        <w:t>USA (MIMIC-IV, eICU), aber externe Validierung; klinischer Nutzenbefund ist übertragbar</w:t>
      </w:r>
    </w:p>
    <w:p>
      <w:r>
        <w:rPr>
          <w:color w:val="5A7D3A"/>
          <w:sz w:val="18"/>
        </w:rPr>
        <w:t>https://pubmed.ncbi.nlm.nih.gov/42766803/</w:t>
      </w:r>
    </w:p>
    <w:p>
      <w:pPr>
        <w:pStyle w:val="Heading2"/>
      </w:pPr>
      <w:r>
        <w:t>Elektronische Patientenakte in der Regelversorgung: Barrieren und Erfolgsfaktoren</w:t>
      </w:r>
    </w:p>
    <w:p>
      <w:r>
        <w:rPr>
          <w:i/>
          <w:color w:val="666666"/>
          <w:sz w:val="18"/>
        </w:rPr>
        <w:t>May S et al.  ·  J Med Internet Res  ·  21.09.2026  ·  PMID 42766713</w:t>
      </w:r>
    </w:p>
    <w:p>
      <w:r>
        <w:t>Qualitative Studie mit 49 Interviews zur Einführung der ePA als Opt-out-System in Arztpraxen ab Januar 2025; Analyse der Implementierungsfaktoren im Rahmen des CFIR-Ansatzes.</w:t>
      </w:r>
    </w:p>
    <w:p>
      <w:r>
        <w:rPr>
          <w:b/>
        </w:rPr>
        <w:t xml:space="preserve">Ergebnis: </w:t>
      </w:r>
      <w:r>
        <w:t>Zentrale Erfolgsfaktoren: Führungsengagement, interne Kommunikation und Lernklima. Wichtigste Barrieren: technische Instabilität (genannt als Hauptproblem), heterogene Funktionalität der Praxisverwaltungssysteme, mangelnde Interoperabilität zwischen Sektoren und unzureichende Patientenaufklärung. Trotz Wahrnehmung als intuitiv und potenziell vorteilhaft blieb die Routinenutzung stark abhängig von organisatorischer Kapazität und Infrastrukturstabilität.</w:t>
      </w:r>
    </w:p>
    <w:p>
      <w:r>
        <w:rPr>
          <w:b/>
          <w:sz w:val="19"/>
        </w:rPr>
        <w:t xml:space="preserve">Übertragbarkeit: </w:t>
      </w:r>
      <w:r>
        <w:rPr>
          <w:sz w:val="19"/>
        </w:rPr>
        <w:t>Deutschland, unmittelbare Relevanz für laufende ePA-Einführung</w:t>
      </w:r>
    </w:p>
    <w:p>
      <w:r>
        <w:rPr>
          <w:color w:val="5A7D3A"/>
          <w:sz w:val="18"/>
        </w:rPr>
        <w:t>https://pubmed.ncbi.nlm.nih.gov/42766713/</w:t>
      </w:r>
    </w:p>
    <w:p>
      <w:pPr>
        <w:pStyle w:val="Heading2"/>
      </w:pPr>
      <w:r>
        <w:t>COVID-19-Exposurebenachrichtigungs-App Koronavilkku: Nutzung und Effektivität in Finnland</w:t>
      </w:r>
    </w:p>
    <w:p>
      <w:r>
        <w:rPr>
          <w:i/>
          <w:color w:val="666666"/>
          <w:sz w:val="18"/>
        </w:rPr>
        <w:t>Kitowska W et al.  ·  JMIR Public Health Surveill  ·  21.09.2026  ·  PMID 42766493</w:t>
      </w:r>
    </w:p>
    <w:p>
      <w:r>
        <w:t>Evaluationsstudie der finnischen Exposurebenachrichtigungs-App mit Systemdaten und Umfrage von 4061 Respondenten; Assessment von Nutzungsumfang, Barrieren, Verhaltenseffekt und Akzeptabilität mittels Sentimentanalyse.</w:t>
      </w:r>
    </w:p>
    <w:p>
      <w:r>
        <w:rPr>
          <w:b/>
        </w:rPr>
        <w:t xml:space="preserve">Ergebnis: </w:t>
      </w:r>
      <w:r>
        <w:t>App-Abdeckung erreichte ca. 53% aktiver Smartphone-Nutzer kurz nach Start, verringerte sich dann. Bei Nutzern, die ein Token erhielten, Quote der Token-Eingabe über 50% während gesamter Studie. Männer, Alter &gt;34 Jahre und Alleinlebende weniger wahrscheinlich Nutzer; höhere Bildung und Haushalte mit Kindern wahrscheinlicher. Fast 70% (94.280 Positiv-Nutzer) erhielten kein Token von Behörden. ENA-Nutzer berichteten höhere Adhärenz zu Pandemie-Maßnahmen als Nicht-Nutzer (Prävalenz-Quotienten 1,24–1,65). 68% nutzten App mindestens einmal, 49% dieser Nutzer beendeten Nutzung später. Sentimentanalyse: Nutzer positiver als Nicht-Nutzer, aber erheblicher Anteil neutral/negativ.</w:t>
      </w:r>
    </w:p>
    <w:p>
      <w:r>
        <w:rPr>
          <w:b/>
          <w:sz w:val="19"/>
        </w:rPr>
        <w:t xml:space="preserve">Übertragbarkeit: </w:t>
      </w:r>
      <w:r>
        <w:rPr>
          <w:sz w:val="19"/>
        </w:rPr>
        <w:t>Finnland, hoher Digitalisierungsgrad; strukturell nicht direkt auf Deutschland übertragbar</w:t>
      </w:r>
    </w:p>
    <w:p>
      <w:r>
        <w:rPr>
          <w:color w:val="5A7D3A"/>
          <w:sz w:val="18"/>
        </w:rPr>
        <w:t>https://pubmed.ncbi.nlm.nih.gov/42766493/</w:t>
      </w:r>
    </w:p>
    <w:p>
      <w:pPr>
        <w:pStyle w:val="Heading1"/>
      </w:pPr>
      <w:r>
        <w:t>Aufgenommen am 21.09.2026</w:t>
      </w:r>
    </w:p>
    <w:p>
      <w:pPr>
        <w:pStyle w:val="Heading2"/>
      </w:pPr>
      <w:r>
        <w:t>Digitale Einladungen zur Darmkrebsfrüherkennung: Effekt auf Teilnahmequoten bei jungen Erwachsenen</w:t>
      </w:r>
    </w:p>
    <w:p>
      <w:r>
        <w:rPr>
          <w:i/>
          <w:color w:val="666666"/>
          <w:sz w:val="18"/>
        </w:rPr>
        <w:t>Klimeck L et al.  ·  BMJ Open  ·  18.09.2026  ·  PMID 42760086</w:t>
      </w:r>
    </w:p>
    <w:p>
      <w:r>
        <w:t>Randomisierte Studie an 90.000 Versicherten, die Effekt von postalischen versus digitalen Einladungen/Erinnerungen zur Inanspruchnahme von Darmkrebs-Screening untersucht.</w:t>
      </w:r>
    </w:p>
    <w:p>
      <w:r>
        <w:rPr>
          <w:b/>
        </w:rPr>
        <w:t xml:space="preserve">Ergebnis: </w:t>
      </w:r>
      <w:r>
        <w:t>Primärer Endpunkt und Effekte der Interventionsgruppe werden in diesem Protokoll nicht berichtet (laufende Studie); Planung zeigt jedoch große Datengrundlage und hohe Relevanz für Screening-Beteiligung.</w:t>
      </w:r>
    </w:p>
    <w:p>
      <w:r>
        <w:rPr>
          <w:b/>
          <w:sz w:val="19"/>
        </w:rPr>
        <w:t xml:space="preserve">Übertragbarkeit: </w:t>
      </w:r>
      <w:r>
        <w:rPr>
          <w:sz w:val="19"/>
        </w:rPr>
        <w:t>Deutsche Versichertendaten (BARMER), direkt übertragbar auf hiesige Screening-Strukturen</w:t>
      </w:r>
    </w:p>
    <w:p>
      <w:r>
        <w:rPr>
          <w:color w:val="5A7D3A"/>
          <w:sz w:val="18"/>
        </w:rPr>
        <w:t>https://pubmed.ncbi.nlm.nih.gov/42760086/</w:t>
      </w:r>
    </w:p>
    <w:p>
      <w:pPr>
        <w:pStyle w:val="Heading2"/>
      </w:pPr>
      <w:r>
        <w:t>LLM-gestützte Extraktion genetischer Eligibilitätskriterien aus klinischen Trials</w:t>
      </w:r>
    </w:p>
    <w:p>
      <w:r>
        <w:rPr>
          <w:i/>
          <w:color w:val="666666"/>
          <w:sz w:val="18"/>
        </w:rPr>
        <w:t>Mathes G et al.  ·  Stud Health Technol Inform  ·  17.09.2026  ·  PMID 42752480</w:t>
      </w:r>
    </w:p>
    <w:p>
      <w:r>
        <w:t>System zur automatisierten Strukturierung von Mutationsanforderungen aus unstrukturierten Einschlusskriterien von Klinical Trials mittels Large Language Models und HUGO-Validierung.</w:t>
      </w:r>
    </w:p>
    <w:p>
      <w:r>
        <w:rPr>
          <w:b/>
        </w:rPr>
        <w:t xml:space="preserve">Ergebnis: </w:t>
      </w:r>
      <w:r>
        <w:t>Bei 4.918 Studien: 1.010 Studien mit strukturierten Mutationskriterien annotiert; 88,1 % korrekt annotiert, Precision 0,80 bei Einzelkriterien; typische Fehler: halluzinierte Gene, Abkürzungsmisinterpretationen.</w:t>
      </w:r>
    </w:p>
    <w:p>
      <w:r>
        <w:rPr>
          <w:b/>
          <w:sz w:val="19"/>
        </w:rPr>
        <w:t xml:space="preserve">Übertragbarkeit: </w:t>
      </w:r>
      <w:r>
        <w:rPr>
          <w:sz w:val="19"/>
        </w:rPr>
        <w:t>Deutschland, deutschsprachiger Raum – direkt nutzbar für Patientenmatching in Präzisionsonkologie</w:t>
      </w:r>
    </w:p>
    <w:p>
      <w:r>
        <w:rPr>
          <w:color w:val="5A7D3A"/>
          <w:sz w:val="18"/>
        </w:rPr>
        <w:t>https://pubmed.ncbi.nlm.nih.gov/42752480/</w:t>
      </w:r>
    </w:p>
    <w:p>
      <w:pPr>
        <w:pStyle w:val="Heading2"/>
      </w:pPr>
      <w:r>
        <w:t>Large Language Models zur Vereinfachung klinischer Notizen für Patientenverständlichkeit</w:t>
      </w:r>
    </w:p>
    <w:p>
      <w:r>
        <w:rPr>
          <w:i/>
          <w:color w:val="666666"/>
          <w:sz w:val="18"/>
        </w:rPr>
        <w:t>Teichmann M et al.  ·  Stud Health Technol Inform  ·  17.09.2026  ·  PMID 42752479</w:t>
      </w:r>
    </w:p>
    <w:p>
      <w:r>
        <w:t>Zehn frei verfügbare LLMs bewertet zur Vereinfachung deutscher Kliniktexte; Auswertung mit etablierten Lesbarkeitsindizes und neuer Analyse von Fachbegriff-/Abkürzungsdichte.</w:t>
      </w:r>
    </w:p>
    <w:p>
      <w:r>
        <w:rPr>
          <w:b/>
        </w:rPr>
        <w:t xml:space="preserve">Ergebnis: </w:t>
      </w:r>
      <w:r>
        <w:t>Alle LLMs erhöhten Textlänge, reduzierten konsistent Fachbegriff- und Abkürzungsdichte; Mistral, ChatGPT, Copilot zeigten beste Balance; keine konsistente Verbesserung über alle Lesbarkeitsindizia; konventionelle Metriken für medizinische Texte unzureichend.</w:t>
      </w:r>
    </w:p>
    <w:p>
      <w:r>
        <w:rPr>
          <w:b/>
          <w:sz w:val="19"/>
        </w:rPr>
        <w:t xml:space="preserve">Übertragbarkeit: </w:t>
      </w:r>
      <w:r>
        <w:rPr>
          <w:sz w:val="19"/>
        </w:rPr>
        <w:t>Deutsche Kliniktexte, bundesweit anwendbar – Patientenrechtegesetz verlangt Zugang zu Akten</w:t>
      </w:r>
    </w:p>
    <w:p>
      <w:r>
        <w:rPr>
          <w:color w:val="5A7D3A"/>
          <w:sz w:val="18"/>
        </w:rPr>
        <w:t>https://pubmed.ncbi.nlm.nih.gov/42752479/</w:t>
      </w:r>
    </w:p>
    <w:p>
      <w:pPr>
        <w:pStyle w:val="Heading2"/>
      </w:pPr>
      <w:r>
        <w:t>Medizinische Konzeptnormalisierung: Hybrid-Retrieval übertrifft reines LLM-Mapping zu SNOMED CT</w:t>
      </w:r>
    </w:p>
    <w:p>
      <w:r>
        <w:rPr>
          <w:i/>
          <w:color w:val="666666"/>
          <w:sz w:val="18"/>
        </w:rPr>
        <w:t>Adam H et al.  ·  Stud Health Technol Inform  ·  17.09.2026  ·  PMID 42752477</w:t>
      </w:r>
    </w:p>
    <w:p>
      <w:r>
        <w:t>Vergleich von LLM-direkter Normalisierung versus Hybrid-Ansatz (Domain-Embeddings + RAG-Reranking) für Mapping deutscher Kliniktexte zu SNOMED CT.</w:t>
      </w:r>
    </w:p>
    <w:p>
      <w:r>
        <w:rPr>
          <w:b/>
        </w:rPr>
        <w:t xml:space="preserve">Ergebnis: </w:t>
      </w:r>
      <w:r>
        <w:t>LLM-Baseline: Recall@1 0,235; Hybrid-Embeddings: Recall@1 0,681; mit RAG-Reranking: Recall@1 0,771, Recall@3/5 je 0,809/0,812 – erheblicher Vorteil kombinierter Strategie.</w:t>
      </w:r>
    </w:p>
    <w:p>
      <w:r>
        <w:rPr>
          <w:b/>
          <w:sz w:val="19"/>
        </w:rPr>
        <w:t xml:space="preserve">Übertragbarkeit: </w:t>
      </w:r>
      <w:r>
        <w:rPr>
          <w:sz w:val="19"/>
        </w:rPr>
        <w:t>Österreich, deutschsprachiger Raum – etabliert Grundlage für interoperable Dokumentation</w:t>
      </w:r>
    </w:p>
    <w:p>
      <w:r>
        <w:rPr>
          <w:color w:val="5A7D3A"/>
          <w:sz w:val="18"/>
        </w:rPr>
        <w:t>https://pubmed.ncbi.nlm.nih.gov/42752477/</w:t>
      </w:r>
    </w:p>
    <w:p>
      <w:pPr>
        <w:pStyle w:val="Heading2"/>
      </w:pPr>
      <w:r>
        <w:t>FHIR-Integration von Patient-Reported Outcomes in Klinikroutine: Interoperabilität und Semantik</w:t>
      </w:r>
    </w:p>
    <w:p>
      <w:r>
        <w:rPr>
          <w:i/>
          <w:color w:val="666666"/>
          <w:sz w:val="18"/>
        </w:rPr>
        <w:t>Warnecke Y et al.  ·  Stud Health Technol Inform  ·  17.09.2026  ·  PMID 42752467</w:t>
      </w:r>
    </w:p>
    <w:p>
      <w:r>
        <w:t>Technische Evaluierung eines FHIR-Systems für Mobile Patient Survey (MoPat) zur Integration von Patientenfragebogen in die MII PRO core-Datenstruktur.</w:t>
      </w:r>
    </w:p>
    <w:p>
      <w:r>
        <w:rPr>
          <w:b/>
        </w:rPr>
        <w:t xml:space="preserve">Ergebnis: </w:t>
      </w:r>
      <w:r>
        <w:t>Fragebogenimport gelang fehlerfrei, führte aber zu Verlust von Score-Berechnungslogik und Code-System-Definitionen; Kernproblem: Spannung zwischen Datenerfassungssoftware und Forschungsstruktur mit fehlender semantischer Annotation.</w:t>
      </w:r>
    </w:p>
    <w:p>
      <w:r>
        <w:rPr>
          <w:b/>
          <w:sz w:val="19"/>
        </w:rPr>
        <w:t xml:space="preserve">Übertragbarkeit: </w:t>
      </w:r>
      <w:r>
        <w:rPr>
          <w:sz w:val="19"/>
        </w:rPr>
        <w:t>Deutsche MII-Infrastruktur – zentral für federierten Gesundheitsdatenraum</w:t>
      </w:r>
    </w:p>
    <w:p>
      <w:r>
        <w:rPr>
          <w:color w:val="5A7D3A"/>
          <w:sz w:val="18"/>
        </w:rPr>
        <w:t>https://pubmed.ncbi.nlm.nih.gov/42752467/</w:t>
      </w:r>
    </w:p>
    <w:p>
      <w:pPr>
        <w:pStyle w:val="Heading2"/>
      </w:pPr>
      <w:r>
        <w:t>REDCap-zu-Klinik-Transfer für Patient-Reported Outcomes ohne MDR-Klassifikation</w:t>
      </w:r>
    </w:p>
    <w:p>
      <w:r>
        <w:rPr>
          <w:i/>
          <w:color w:val="666666"/>
          <w:sz w:val="18"/>
        </w:rPr>
        <w:t>Cenko E et al.  ·  Stud Health Technol Inform  ·  17.09.2026  ·  PMID 42752464</w:t>
      </w:r>
    </w:p>
    <w:p>
      <w:r>
        <w:t>Pragmatischer Ansatz zur Integration von Forschungs-PROMs (REDCap) in Klinikinformationssysteme mittels HL7v2-Interface und Dokumentformat-Transfer ohne automatisierte Scoring.</w:t>
      </w:r>
    </w:p>
    <w:p>
      <w:r>
        <w:rPr>
          <w:b/>
        </w:rPr>
        <w:t xml:space="preserve">Ergebnis: </w:t>
      </w:r>
      <w:r>
        <w:t>Psychosomatische Baseline-Assessments erfolgreich übertragen und als PDFs verfügbar; Verzicht auf Scoring-Automatisierung: MDR-Klassifikation vermieden; Logging und Bestätigungsmechanismen gewährleisteten Nachverfolgbarkeit.</w:t>
      </w:r>
    </w:p>
    <w:p>
      <w:r>
        <w:rPr>
          <w:b/>
          <w:sz w:val="19"/>
        </w:rPr>
        <w:t xml:space="preserve">Übertragbarkeit: </w:t>
      </w:r>
      <w:r>
        <w:rPr>
          <w:sz w:val="19"/>
        </w:rPr>
        <w:t>Deutschland, deutsches Regelwerk (DSGVO, MDR) – Template für andere Zentren und zukünftige FHIR-Standardisierung</w:t>
      </w:r>
    </w:p>
    <w:p>
      <w:r>
        <w:rPr>
          <w:color w:val="5A7D3A"/>
          <w:sz w:val="18"/>
        </w:rPr>
        <w:t>https://pubmed.ncbi.nlm.nih.gov/42752464/</w:t>
      </w:r>
    </w:p>
    <w:p>
      <w:pPr>
        <w:pStyle w:val="Heading1"/>
      </w:pPr>
      <w:r>
        <w:t>Aufgenommen am 20.09.2026</w:t>
      </w:r>
    </w:p>
    <w:p>
      <w:pPr>
        <w:pStyle w:val="Heading2"/>
      </w:pPr>
      <w:r>
        <w:t>Generative AI in der Primärversorgung: Anforderungen für klinische Vertrauenswürdigkeit</w:t>
      </w:r>
    </w:p>
    <w:p>
      <w:r>
        <w:rPr>
          <w:i/>
          <w:color w:val="666666"/>
          <w:sz w:val="18"/>
        </w:rPr>
        <w:t>Stummer FO et al.  ·  Scand J Prim Health Care  ·  19.09.2026  ·  PMID 42762495</w:t>
      </w:r>
    </w:p>
    <w:p>
      <w:r>
        <w:t>Analyse der Implementierungsbedingungen für Large Language Models in der Primärversorgung anhand europäischer und nordischer Perspektiven, mit Fokus auf Misalignment zwischen Modellentwicklung und klinischer Realität.</w:t>
      </w:r>
    </w:p>
    <w:p>
      <w:r>
        <w:rPr>
          <w:b/>
        </w:rPr>
        <w:t xml:space="preserve">Ergebnis: </w:t>
      </w:r>
      <w:r>
        <w:t>GPT-4 schnitt beim schwedischen Facharzt-Examen schlechter ab als Hausärzte. Die Studie identifiziert sechs kritische Dimensionen (klinisch, relational, organisatorisch, kulturell, linguistisch, epistemisch), in denen aktuelle Entwicklung und Evaluationspraxis nicht mit Bedingungen der Primärversorgung (Multimorbidität, Kontinuität, Langzeitreasoning) übereinstimmen. Es wird kein Bereitschaftsstatus erreicht, Genauigkeit allein macht Systeme nicht vertrauenswürdig.</w:t>
      </w:r>
    </w:p>
    <w:p>
      <w:r>
        <w:rPr>
          <w:b/>
          <w:sz w:val="19"/>
        </w:rPr>
        <w:t xml:space="preserve">Übertragbarkeit: </w:t>
      </w:r>
      <w:r>
        <w:rPr>
          <w:sz w:val="19"/>
        </w:rPr>
        <w:t>Nordische Primärversorgung; Befunde zu Implementierungsgaps übertragbar auf deutsches System.</w:t>
      </w:r>
    </w:p>
    <w:p>
      <w:r>
        <w:rPr>
          <w:color w:val="5A7D3A"/>
          <w:sz w:val="18"/>
        </w:rPr>
        <w:t>https://pubmed.ncbi.nlm.nih.gov/42762495/</w:t>
      </w:r>
    </w:p>
    <w:p>
      <w:pPr>
        <w:pStyle w:val="Heading2"/>
      </w:pPr>
      <w:r>
        <w:t>KI-gestützte Rauchentfernung in der roboter-assistierten Uroonkologie</w:t>
      </w:r>
    </w:p>
    <w:p>
      <w:r>
        <w:rPr>
          <w:i/>
          <w:color w:val="666666"/>
          <w:sz w:val="18"/>
        </w:rPr>
        <w:t>Buck L et al.  ·  J Robot Surg  ·  19.09.2026  ·  PMID 42762281</w:t>
      </w:r>
    </w:p>
    <w:p>
      <w:r>
        <w:t>Pilotbewertung einer 3D U-Net KI zur Echtzeitentfernung von Elektrocautery-Rauch in Operationsvideos durch 20 Urologen in retrospektiver, ungeblindeter Einzelzentrum-Studie.</w:t>
      </w:r>
    </w:p>
    <w:p>
      <w:r>
        <w:rPr>
          <w:b/>
        </w:rPr>
        <w:t xml:space="preserve">Ergebnis: </w:t>
      </w:r>
      <w:r>
        <w:t>Sichtbarkeit anatomischer Details und Tiefenwahrnehmung wurden von 75 % der Teilnehmer als gleich und von 25 % als leicht besser bewertet; 20 % beurteilten die Bildstabilität als schlechter. Insgesamt 40 % bewerteten den Nutzen positiv, 35 % neutral, 25 % negativ. KI-Verarbeitung war nicht mit Verschlechterung assoziiert, aber Breite der Konfidenzintervalle bleibt groß, Äquivalenz wurde nicht nachgewiesen.</w:t>
      </w:r>
    </w:p>
    <w:p>
      <w:r>
        <w:rPr>
          <w:b/>
          <w:sz w:val="19"/>
        </w:rPr>
        <w:t xml:space="preserve">Übertragbarkeit: </w:t>
      </w:r>
      <w:r>
        <w:rPr>
          <w:sz w:val="19"/>
        </w:rPr>
        <w:t>Deutsche Urologieschule, Aussagekraft durch kleine Stichprobe und Bias begrenzt.</w:t>
      </w:r>
    </w:p>
    <w:p>
      <w:r>
        <w:rPr>
          <w:color w:val="5A7D3A"/>
          <w:sz w:val="18"/>
        </w:rPr>
        <w:t>https://pubmed.ncbi.nlm.nih.gov/42762281/</w:t>
      </w:r>
    </w:p>
    <w:p>
      <w:pPr>
        <w:pStyle w:val="Heading2"/>
      </w:pPr>
      <w:r>
        <w:t>E-Health-Transformation in Armeniens Gesundheitssystem: Implementierungsforschung mit Vergleichbarkeit zu anderen Ländern mit mittlerem Einkommen</w:t>
      </w:r>
    </w:p>
    <w:p>
      <w:r>
        <w:rPr>
          <w:i/>
          <w:color w:val="666666"/>
          <w:sz w:val="18"/>
        </w:rPr>
        <w:t>Sargsyan T et al.  ·  Front Public Health  ·  04.09.2026  ·  PMID 42761057</w:t>
      </w:r>
    </w:p>
    <w:p>
      <w:r>
        <w:t>Erfahrungsbericht der national flächendeckenden E-Health-Einführung (ARMED-System) mit Implementierungsbarrieren und -lösungen für Länder mit mittlerem Einkommen.</w:t>
      </w:r>
    </w:p>
    <w:p>
      <w:r>
        <w:rPr>
          <w:b/>
        </w:rPr>
        <w:t xml:space="preserve">Ergebnis: </w:t>
      </w:r>
      <w:r>
        <w:t>ARMED-Rollout verbesserte Kontinuität der Versorgung, Zugang zu Services insbesondere in ländlichen Gebieten, umfasste e-Rezepte, Registries, Screening-Programme und Telemedizin. Hauptbarrieren: fragmentierte Informationen, begrenzte Infrastruktur, Lücken in digitaler Kompetenz und persistente Stadt-Land-Ungleichheit. Lösungen erforderten zentrale Governance, Regulierungsreformen, Schulung und kontextspezifische Implementierung.</w:t>
      </w:r>
    </w:p>
    <w:p>
      <w:r>
        <w:rPr>
          <w:b/>
          <w:sz w:val="19"/>
        </w:rPr>
        <w:t xml:space="preserve">Übertragbarkeit: </w:t>
      </w:r>
      <w:r>
        <w:rPr>
          <w:sz w:val="19"/>
        </w:rPr>
        <w:t>Mittleres Einkommen, ähnliche Infrastrukturherausforderungen; Governance-Lehren für Länder mit geringer digitaler Reife relevant.</w:t>
      </w:r>
    </w:p>
    <w:p>
      <w:r>
        <w:rPr>
          <w:color w:val="5A7D3A"/>
          <w:sz w:val="18"/>
        </w:rPr>
        <w:t>https://pubmed.ncbi.nlm.nih.gov/42761057/</w:t>
      </w:r>
    </w:p>
    <w:p>
      <w:pPr>
        <w:pStyle w:val="Heading2"/>
      </w:pPr>
      <w:r>
        <w:t>KI-gestützte Messung der thorakalen Aortendurchmesser im CT: Genauigkeit und Zeiteinsparung</w:t>
      </w:r>
    </w:p>
    <w:p>
      <w:r>
        <w:rPr>
          <w:i/>
          <w:color w:val="666666"/>
          <w:sz w:val="18"/>
        </w:rPr>
        <w:t>Suzuki A et al.  ·  Medicine (Baltimore)  ·  18.09.2026  ·  PMID 42760670</w:t>
      </w:r>
    </w:p>
    <w:p>
      <w:r>
        <w:t>Prospektive Einzelzentrum-Studie zur klinischen Leistung eines KI-Assistenzsystems für die Messung der Aortendurchmesser im Non-Contrast-CT versus manuelle Messung im Contrast-Enhanced-CT und manuelle Messung im Non-Contrast-CT.</w:t>
      </w:r>
    </w:p>
    <w:p>
      <w:r>
        <w:rPr>
          <w:b/>
        </w:rPr>
        <w:t xml:space="preserve">Ergebnis: </w:t>
      </w:r>
      <w:r>
        <w:t>Keine signifikanten Unterschiede zwischen KI-assistiert und manueller Methode auf NCCT versus CECT (Diff 1,10 mm vs. 1,03 mm, p = 0,058); obere Grenze 95%-KI &lt;1,5 mm bei allen Landmarks. Evaluationszeit KI-assistiert signifikant kürzer als manuell: Expertenradiologe 272 s (IQR 229–313) vs. 496 s (p &lt;0,001), Trainingsradiologe 304 s vs. 710 s (p &lt;0,001).</w:t>
      </w:r>
    </w:p>
    <w:p>
      <w:r>
        <w:rPr>
          <w:b/>
          <w:sz w:val="19"/>
        </w:rPr>
        <w:t xml:space="preserve">Übertragbarkeit: </w:t>
      </w:r>
      <w:r>
        <w:rPr>
          <w:sz w:val="19"/>
        </w:rPr>
        <w:t>Japan, technisch ähnliche Bildverarbeitung; Zeiteinsparung und Genauigkeit übertragbar.</w:t>
      </w:r>
    </w:p>
    <w:p>
      <w:r>
        <w:rPr>
          <w:color w:val="5A7D3A"/>
          <w:sz w:val="18"/>
        </w:rPr>
        <w:t>https://pubmed.ncbi.nlm.nih.gov/42760670/</w:t>
      </w:r>
    </w:p>
    <w:p>
      <w:pPr>
        <w:pStyle w:val="Heading2"/>
      </w:pPr>
      <w:r>
        <w:t>Lokales LLM-Post-Processing von Whisper-Sprachtranskription in der Medizin: Referenzfreie Evaluierung für klinische Dokumentation</w:t>
      </w:r>
    </w:p>
    <w:p>
      <w:r>
        <w:rPr>
          <w:i/>
          <w:color w:val="666666"/>
          <w:sz w:val="18"/>
        </w:rPr>
        <w:t>Wattar A et al.  ·  Stud Health Technol Inform  ·  17.09.2026  ·  PMID 42752483</w:t>
      </w:r>
    </w:p>
    <w:p>
      <w:r>
        <w:t>Entwicklung und Evaluierung eines referenzfreien Evaluierungs-Frameworks für LLM-basierte Zusammenfassung von Klinik-Transkripten aus lokal eingesetztem Whisper-System (26 deutschsprachige Arzt-Patienten-Gespräche, 4 LLMs, 416 Summaries).</w:t>
      </w:r>
    </w:p>
    <w:p>
      <w:r>
        <w:rPr>
          <w:b/>
        </w:rPr>
        <w:t xml:space="preserve">Ergebnis: </w:t>
      </w:r>
      <w:r>
        <w:t>GPT-OSS-120B und MedGemma-27B erreichten höchste Transcript-Summary-Ähnlichkeit. Stabilität über wiederholte Generationen sehr hoch (Cosine Similarity &gt;0,90). Embedding-basierte Metriken zeigten partielle Übereinstimmung mit menschlicher Bewertung der Zusammenfassungsqualität. Framework ermöglicht skalierbare, referenzfreie Evaluierung ohne Referenzsummaries in Datenschutz-sensiblen Umgebungen.</w:t>
      </w:r>
    </w:p>
    <w:p>
      <w:r>
        <w:rPr>
          <w:b/>
          <w:sz w:val="19"/>
        </w:rPr>
        <w:t xml:space="preserve">Übertragbarkeit: </w:t>
      </w:r>
      <w:r>
        <w:rPr>
          <w:sz w:val="19"/>
        </w:rPr>
        <w:t>Deutschland, deutsche klinische Texte, lokale Bereitstellung ohne Daten-Cloud.</w:t>
      </w:r>
    </w:p>
    <w:p>
      <w:r>
        <w:rPr>
          <w:color w:val="5A7D3A"/>
          <w:sz w:val="18"/>
        </w:rPr>
        <w:t>https://pubmed.ncbi.nlm.nih.gov/42752483/</w:t>
      </w:r>
    </w:p>
    <w:p>
      <w:pPr>
        <w:pStyle w:val="Heading2"/>
      </w:pPr>
      <w:r>
        <w:t>Klinisches Coding mit LLM-Tool-Use: Automatisierte Extraktion von Medikation und Diagnosen aus unstrukturierten deutschen Arztbriefen</w:t>
      </w:r>
    </w:p>
    <w:p>
      <w:r>
        <w:rPr>
          <w:i/>
          <w:color w:val="666666"/>
          <w:sz w:val="18"/>
        </w:rPr>
        <w:t>Spreuer T et al.  ·  Stud Health Technol Inform  ·  17.09.2026  ·  PMID 42752481</w:t>
      </w:r>
    </w:p>
    <w:p>
      <w:r>
        <w:t>Pilot zur Evaluierung offener LLM-Modelle für automatisierte Extraktion und Kodierung von Medikamenten und Diagnosen aus deutschen Arztbriefen (35 anonymisierte Briefe, 5 Patienten, 3 LLMs lokal).</w:t>
      </w:r>
    </w:p>
    <w:p>
      <w:r>
        <w:rPr>
          <w:b/>
        </w:rPr>
        <w:t xml:space="preserve">Ergebnis: </w:t>
      </w:r>
      <w:r>
        <w:t>Diagnosen F1-Score max. 0,12 (Breite-Kategorie 0,18); Medikationen F1 0,78 (Trivialname 0,95). Für triviale Medikamentennamen ist jeder Fehler erklärbar; für klinisches Setting nicht ausreichend genau. Medication-Extraktion für Forschungsdatenbanken geeignet, für Patientenbehandlung noch nicht.</w:t>
      </w:r>
    </w:p>
    <w:p>
      <w:r>
        <w:rPr>
          <w:b/>
          <w:sz w:val="19"/>
        </w:rPr>
        <w:t xml:space="preserve">Übertragbarkeit: </w:t>
      </w:r>
      <w:r>
        <w:rPr>
          <w:sz w:val="19"/>
        </w:rPr>
        <w:t>Deutschland, deutsche Kliniktexte, lokale GPU, aber noch nicht produktionsreif für klinische Routine.</w:t>
      </w:r>
    </w:p>
    <w:p>
      <w:r>
        <w:rPr>
          <w:color w:val="5A7D3A"/>
          <w:sz w:val="18"/>
        </w:rPr>
        <w:t>https://pubmed.ncbi.nlm.nih.gov/42752481/</w:t>
      </w:r>
    </w:p>
    <w:p>
      <w:pPr>
        <w:pStyle w:val="Heading1"/>
      </w:pPr>
      <w:r>
        <w:t>Aufgenommen am 19.09.2026</w:t>
      </w:r>
    </w:p>
    <w:p>
      <w:pPr>
        <w:pStyle w:val="Heading2"/>
      </w:pPr>
      <w:r>
        <w:t>Automatisierte Qualitätskontrolle für Nierenkrankheiten in belgischen Hausarztpraxen</w:t>
      </w:r>
    </w:p>
    <w:p>
      <w:r>
        <w:rPr>
          <w:i/>
          <w:color w:val="666666"/>
          <w:sz w:val="18"/>
        </w:rPr>
        <w:t>Soetaert J et al.  ·  BMJ Health Care Inform  ·  18.09.2026  ·  PMID 42759973</w:t>
      </w:r>
    </w:p>
    <w:p>
      <w:r>
        <w:t>Entwicklung und Implementierung eines automatisierten Audit- und Feedback-Tools in Elektronischen Patientenakten zur Messung und Verbesserung der Versorgungsqualität bei chronischer Nierenerkrankung in belgischen Hausarztpraxen.</w:t>
      </w:r>
    </w:p>
    <w:p>
      <w:r>
        <w:rPr>
          <w:b/>
        </w:rPr>
        <w:t xml:space="preserve">Ergebnis: </w:t>
      </w:r>
      <w:r>
        <w:t>Von 36 geplanten Qualitätsindikatoren konnten 14 mittels automatisierter Abfragen in EMR-Systeme implementiert werden und Feedback-Dashboards bereitgestellt werden; 22 Indikatoren mussten ausgeschlossen oder angepasst werden wegen technischer Limitationen und unzuverlässiger Datenqualität.</w:t>
      </w:r>
    </w:p>
    <w:p>
      <w:r>
        <w:rPr>
          <w:b/>
          <w:sz w:val="19"/>
        </w:rPr>
        <w:t xml:space="preserve">Übertragbarkeit: </w:t>
      </w:r>
      <w:r>
        <w:rPr>
          <w:sz w:val="19"/>
        </w:rPr>
        <w:t>Belgische Hausarztdaten, vergleichbares Sozialversicherungssystem wie Deutschland.</w:t>
      </w:r>
    </w:p>
    <w:p>
      <w:r>
        <w:rPr>
          <w:color w:val="5A7D3A"/>
          <w:sz w:val="18"/>
        </w:rPr>
        <w:t>https://pubmed.ncbi.nlm.nih.gov/42759973/</w:t>
      </w:r>
    </w:p>
    <w:p>
      <w:pPr>
        <w:pStyle w:val="Heading2"/>
      </w:pPr>
      <w:r>
        <w:t>Large Language Models für Chronische Nierenerkrankung in Hausarztpraxen</w:t>
      </w:r>
    </w:p>
    <w:p>
      <w:r>
        <w:rPr>
          <w:i/>
          <w:color w:val="666666"/>
          <w:sz w:val="18"/>
        </w:rPr>
        <w:t>Wu J et al.  ·  BMJ Health Care Inform  ·  18.09.2026  ·  PMID 42759972</w:t>
      </w:r>
    </w:p>
    <w:p>
      <w:r>
        <w:t>Evaluierung eines Large Language Models (DeepSeek) zur Unterstützung der CKD-Diagnose in Hausarztpraxen mittels Zeit-Serien-Daten aus elektronischen Patientenakten.</w:t>
      </w:r>
    </w:p>
    <w:p>
      <w:r>
        <w:rPr>
          <w:b/>
        </w:rPr>
        <w:t xml:space="preserve">Ergebnis: </w:t>
      </w:r>
      <w:r>
        <w:t>Mit 1-Monats-Daten: Genauigkeit 87,0 %, AUC 0,921, Sensitivität 89,1 %, Spezifität 86,8 %, Erkennungsrate früher Nierenschädigung 42,2 %; mit 1-Jahres-Daten stieg Sensitivität auf 92,2 % und frühe Erkennung auf 52,6 %.</w:t>
      </w:r>
    </w:p>
    <w:p>
      <w:r>
        <w:rPr>
          <w:b/>
          <w:sz w:val="19"/>
        </w:rPr>
        <w:t xml:space="preserve">Übertragbarkeit: </w:t>
      </w:r>
      <w:r>
        <w:rPr>
          <w:sz w:val="19"/>
        </w:rPr>
        <w:t>China, aber Algorithmus-Grundprinzipien und EHR-Nutzung übertragbar auf deutsche Hausarztdaten.</w:t>
      </w:r>
    </w:p>
    <w:p>
      <w:r>
        <w:rPr>
          <w:color w:val="5A7D3A"/>
          <w:sz w:val="18"/>
        </w:rPr>
        <w:t>https://pubmed.ncbi.nlm.nih.gov/42759972/</w:t>
      </w:r>
    </w:p>
    <w:p>
      <w:pPr>
        <w:pStyle w:val="Heading2"/>
      </w:pPr>
      <w:r>
        <w:t>Machine Learning für Präklinische Erkennung von Schlaganfall durch Gefäßverschluss</w:t>
      </w:r>
    </w:p>
    <w:p>
      <w:r>
        <w:rPr>
          <w:i/>
          <w:color w:val="666666"/>
          <w:sz w:val="18"/>
        </w:rPr>
        <w:t>Garcia BL et al.  ·  Eur Stroke J  ·  05.09.2026  ·  PMID 42758735</w:t>
      </w:r>
    </w:p>
    <w:p>
      <w:r>
        <w:t>Vergleich von XGBoost, logistischer Regression und klinischen Scales zur Präklinischen Erkennung von Schlaganfällen mit großem Gefäßverschluss oder Hirnblutung anhand von Rettungsdienst-Daten.</w:t>
      </w:r>
    </w:p>
    <w:p>
      <w:r>
        <w:rPr>
          <w:b/>
        </w:rPr>
        <w:t xml:space="preserve">Ergebnis: </w:t>
      </w:r>
      <w:r>
        <w:t>XGBoost erreichte balanced accuracy von 82,1 % mit Routine-Variablen und 84,4 % mit erweiterten Variablen, übertrifft logistische Regression (79,0–80,7 %) und RACE-Scale (74,5 %); Sensitivität 76,7 %, Spezifität 92,1 %.</w:t>
      </w:r>
    </w:p>
    <w:p>
      <w:r>
        <w:rPr>
          <w:b/>
          <w:sz w:val="19"/>
        </w:rPr>
        <w:t xml:space="preserve">Übertragbarkeit: </w:t>
      </w:r>
      <w:r>
        <w:rPr>
          <w:sz w:val="19"/>
        </w:rPr>
        <w:t>Niederlande, vergleichbares europäisches Gesundheitssystem, prospektive Validierung erforderlich.</w:t>
      </w:r>
    </w:p>
    <w:p>
      <w:r>
        <w:rPr>
          <w:color w:val="5A7D3A"/>
          <w:sz w:val="18"/>
        </w:rPr>
        <w:t>https://pubmed.ncbi.nlm.nih.gov/42758735/</w:t>
      </w:r>
    </w:p>
    <w:p>
      <w:pPr>
        <w:pStyle w:val="Heading2"/>
      </w:pPr>
      <w:r>
        <w:t>GPT-4 versus Tumorkonferenz bei Bauchspeicheldrüsenkrebs: Konkordanzanalyse</w:t>
      </w:r>
    </w:p>
    <w:p>
      <w:r>
        <w:rPr>
          <w:i/>
          <w:color w:val="666666"/>
          <w:sz w:val="18"/>
        </w:rPr>
        <w:t>Gehrisch F et al.  ·  Langenbecks Arch Surg  ·  17.09.2026  ·  PMID 42758212</w:t>
      </w:r>
    </w:p>
    <w:p>
      <w:r>
        <w:t>Prospektive Vergleichsstudie, die Behandlungsempfehlungen eines Large Language Models mit Entscheidungen realer multidisziplinärer Tumorkonferenzen bei Pankreaskarzinom abgleicht.</w:t>
      </w:r>
    </w:p>
    <w:p>
      <w:r>
        <w:rPr>
          <w:b/>
        </w:rPr>
        <w:t xml:space="preserve">Ergebnis: </w:t>
      </w:r>
      <w:r>
        <w:t>Konkordanzrate zwischen GPT-4 und Tumorkonferenz 73,3 % (κ = 0,64, p &lt; 0,0001); höchste Konkordanz bei metastasierter Erkrankung (90,0 %) und neoadjuvanter Therapie (90,0 %), niedrigste bei komplexen Fällen mit erforderlicher Zusatzdiagnostik (50,0 %).</w:t>
      </w:r>
    </w:p>
    <w:p>
      <w:r>
        <w:rPr>
          <w:b/>
          <w:sz w:val="19"/>
        </w:rPr>
        <w:t xml:space="preserve">Übertragbarkeit: </w:t>
      </w:r>
      <w:r>
        <w:rPr>
          <w:sz w:val="19"/>
        </w:rPr>
        <w:t>Deutsche Universitätsklinik, aber nur als ergänzend zu klinischer Expertise geeignet.</w:t>
      </w:r>
    </w:p>
    <w:p>
      <w:r>
        <w:rPr>
          <w:color w:val="5A7D3A"/>
          <w:sz w:val="18"/>
        </w:rPr>
        <w:t>https://pubmed.ncbi.nlm.nih.gov/42758212/</w:t>
      </w:r>
    </w:p>
    <w:p>
      <w:pPr>
        <w:pStyle w:val="Heading2"/>
      </w:pPr>
      <w:r>
        <w:t>Generative AI-Chatbots für Patientenberatung zu diabetischer Neuropathie: Sicherheit und Genauigkeit</w:t>
      </w:r>
    </w:p>
    <w:p>
      <w:r>
        <w:rPr>
          <w:i/>
          <w:color w:val="666666"/>
          <w:sz w:val="18"/>
        </w:rPr>
        <w:t>Gu L et al.  ·  Front Public Health  ·  03.09.2026  ·  PMID 42757292</w:t>
      </w:r>
    </w:p>
    <w:p>
      <w:r>
        <w:t>Vergleichende Bewertung von fünf öffentlich verfügbaren KI-Chatbots (ChatGPT, Gemini, Copilot, DeepSeek, Doubao) zu Sicherheit, Richtlinienkonkordanz und Genauigkeit bei patientenorientierter Beratung zu schmerzhafter diabetischer Polyneuropathie.</w:t>
      </w:r>
    </w:p>
    <w:p>
      <w:r>
        <w:rPr>
          <w:b/>
        </w:rPr>
        <w:t xml:space="preserve">Ergebnis: </w:t>
      </w:r>
      <w:r>
        <w:t>9,3 % aller 300 Antworten waren unsicher oder potenziell unsicher (Spannweite 5,0–15,0 % je Modell); Genauigkeit, Richtlinienkonkordanz und Anwendbarkeit unterschieden sich signifikant (p &lt; 0,001); ChatGPT erzielte höchste Content-Scores, Doubao niedrigste, DeepSeek höchste Lesbarkeitsanforderungen.</w:t>
      </w:r>
    </w:p>
    <w:p>
      <w:r>
        <w:rPr>
          <w:b/>
          <w:sz w:val="19"/>
        </w:rPr>
        <w:t xml:space="preserve">Übertragbarkeit: </w:t>
      </w:r>
      <w:r>
        <w:rPr>
          <w:sz w:val="19"/>
        </w:rPr>
        <w:t>Internationale Modelle, aber Sicherheitsbefunde unabhängig von Gesundheitssystem; jedes System erzeugte mindestens eine potenziell schädliche Antwort.</w:t>
      </w:r>
    </w:p>
    <w:p>
      <w:r>
        <w:rPr>
          <w:color w:val="5A7D3A"/>
          <w:sz w:val="18"/>
        </w:rPr>
        <w:t>https://pubmed.ncbi.nlm.nih.gov/42757292/</w:t>
      </w:r>
    </w:p>
    <w:p>
      <w:pPr>
        <w:pStyle w:val="Heading2"/>
      </w:pPr>
      <w:r>
        <w:t>Machine Learning für Dysphagie-Screening bei Demenzpatienten</w:t>
      </w:r>
    </w:p>
    <w:p>
      <w:r>
        <w:rPr>
          <w:i/>
          <w:color w:val="666666"/>
          <w:sz w:val="18"/>
        </w:rPr>
        <w:t>Du J et al.  ·  Clin Interv Aging  ·  12.09.2026  ·  PMID 42756555</w:t>
      </w:r>
    </w:p>
    <w:p>
      <w:r>
        <w:t>Entwicklung und externe Validierung eines interpretierbaren Machine-Learning-Modells zur Früherkennung von Schluckstörungen bei Demenzkranken mittels routinemäßig verfügbarer klinischer Daten.</w:t>
      </w:r>
    </w:p>
    <w:p>
      <w:r>
        <w:rPr>
          <w:b/>
        </w:rPr>
        <w:t xml:space="preserve">Ergebnis: </w:t>
      </w:r>
      <w:r>
        <w:t>AdaBoost erzielte AUC 0,918 (interne Validierung), 0,900 (externe Validierung Klinik), 0,889 (zeitliche externe Validierung); Sensitivität 0,879–0,901; Hauptprädiktoren: BMI, Zahnzahl, Essfähigkeit, Ernährungstyp, Clinical Dementia Rating.</w:t>
      </w:r>
    </w:p>
    <w:p>
      <w:r>
        <w:rPr>
          <w:b/>
          <w:sz w:val="19"/>
        </w:rPr>
        <w:t xml:space="preserve">Übertragbarkeit: </w:t>
      </w:r>
      <w:r>
        <w:rPr>
          <w:sz w:val="19"/>
        </w:rPr>
        <w:t>China, aber Modell auf europäische Demenzversorgung übertragbar, Online-Tool zur Fallidentifikation entwickelt.</w:t>
      </w:r>
    </w:p>
    <w:p>
      <w:r>
        <w:rPr>
          <w:color w:val="5A7D3A"/>
          <w:sz w:val="18"/>
        </w:rPr>
        <w:t>https://pubmed.ncbi.nlm.nih.gov/42756555/</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2026-09-27T06:00:00Z</dcterms:created>
  <dcterms:modified xsi:type="dcterms:W3CDTF">2026-09-27T06:00:00Z</dcterms:modified>
  <cp:category/>
</cp:coreProperties>
</file>