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09.09.2026  |  6 Studien  |  ki.m-vf.de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Decision Mining für Qualitätsverbesserung in der Pflege: Akzeptanzprognose</w:t>
      </w:r>
    </w:p>
    <w:p>
      <w:r>
        <w:rPr>
          <w:i/>
          <w:color w:val="666666"/>
          <w:sz w:val="18"/>
        </w:rPr>
        <w:t>Berkhout M et al.  ·  JMIR Form Res  ·  08.09.2026  ·  PMID 42710060</w:t>
      </w:r>
    </w:p>
    <w:p>
      <w:r>
        <w:t>Qualitative Studie mit fünf niederländischen Pflegekräften zur Akzeptanz eines Decision-Mining-Tools, das aus elektronischen Patientenakten retrospektiv Entscheidungsmuster rekonstruiert und für Qualitätszirkel nutzt.</w:t>
      </w:r>
    </w:p>
    <w:p>
      <w:r>
        <w:rPr>
          <w:b/>
        </w:rPr>
        <w:t xml:space="preserve">Ergebnis: </w:t>
      </w:r>
      <w:r>
        <w:t>Hohe Performance Expectancy (Nutzenwahrnehmung), moderate Effort Expectancy (Aufwand). Entscheidend für Akzeptanz: lernorientierte Rahmung statt Kontrollnarrativ und investition in Datenliteralität – nicht technische Hürden allein. Adoption eher in strukturierten Meetings als im Routinebetrieb.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 strukturiertes Gesundheitssystem; qualitative Befunde zu Implementierungsbarrieren gelten grundsätzlich auch in Deutschland.</w:t>
      </w:r>
    </w:p>
    <w:p>
      <w:r>
        <w:rPr>
          <w:color w:val="5A7D3A"/>
          <w:sz w:val="18"/>
        </w:rPr>
        <w:t>https://pubmed.ncbi.nlm.nih.gov/42710060/</w:t>
      </w:r>
    </w:p>
    <w:p>
      <w:pPr>
        <w:pStyle w:val="Heading2"/>
      </w:pPr>
      <w:r>
        <w:t>Digitale Multidisziplinäre Rehabilitation bei Bauchkrebs unter Chemoradiotherapie</w:t>
      </w:r>
    </w:p>
    <w:p>
      <w:r>
        <w:rPr>
          <w:i/>
          <w:color w:val="666666"/>
          <w:sz w:val="18"/>
        </w:rPr>
        <w:t>Yang L et al.  ·  J Med Internet Res  ·  08.09.2026  ·  PMID 42709968</w:t>
      </w:r>
    </w:p>
    <w:p>
      <w:r>
        <w:t>Randomisierte Phase-II-Studie (111 Patienten) zur mHealth-gestützten Multidisziplinären Rehabilitationspflege (AiNST-Plattform mit Wearables) während Chemoradiotherapie von Bauchkrebsen, primärer Endpunkt: Handgriffstärke.</w:t>
      </w:r>
    </w:p>
    <w:p>
      <w:r>
        <w:rPr>
          <w:b/>
        </w:rPr>
        <w:t xml:space="preserve">Ergebnis: </w:t>
      </w:r>
      <w:r>
        <w:t>Angepasste mittlere Differenz Handgriffstärke +4,87 kg (95%-KI 3,36–6,38; p&lt;0,001) in der Interventionsgruppe. Sekundär: bessere Erhaltung von Körpergewicht, Skelettmuskelmasse, Serumalbumin, Prealbumin, niedrigere Hämatotoxizität, bessere psychologische und Ernährungswerte. Adhärenz 83,9%. Open-Label-Design, heterogene Tumoren, kurzes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(multi-center) mit mobiler Telemedizin-Plattform; Konzept übertragbar, aber Phase III nötig; deutsche Umsetzung machbar.</w:t>
      </w:r>
    </w:p>
    <w:p>
      <w:r>
        <w:rPr>
          <w:color w:val="5A7D3A"/>
          <w:sz w:val="18"/>
        </w:rPr>
        <w:t>https://pubmed.ncbi.nlm.nih.gov/42709968/</w:t>
      </w:r>
    </w:p>
    <w:p>
      <w:pPr>
        <w:pStyle w:val="Heading2"/>
      </w:pPr>
      <w:r>
        <w:t>Klinische Datenanalyse durch Large Language Model Agenten: Leistung und Fehler</w:t>
      </w:r>
    </w:p>
    <w:p>
      <w:r>
        <w:rPr>
          <w:i/>
          <w:color w:val="666666"/>
          <w:sz w:val="18"/>
        </w:rPr>
        <w:t>Wu Y et al.  ·  J Med Internet Res  ·  08.09.2026  ·  PMID 42709964</w:t>
      </w:r>
    </w:p>
    <w:p>
      <w:r>
        <w:t>Evaluation eines LLM-Agenten (Claude) über fünf Workflows klinischer Datenanalyse – Forschungsfragen generieren, Analyseplan entwerfen, Code ausführen – anhand standardisierter ophthalmologischer Daten (7802 Patienten, 12 Jahre).</w:t>
      </w:r>
    </w:p>
    <w:p>
      <w:r>
        <w:rPr>
          <w:b/>
        </w:rPr>
        <w:t xml:space="preserve">Ergebnis: </w:t>
      </w:r>
      <w:r>
        <w:t>Agent generiert 18 klinisch fundierte Fragen, alle 9 Analysepläne strukturell korrekt. Kaplan-Meier-Schätzer zuverlässig. Systematische Fehler in Code-Ausführung: SAP-Qualität nicht prädiktiv für Korrektheit, identische Fehler wiederholbar. 8 von 17 Narrativen vollständig zufriedenstellend; 2 klinisch relevante Fehler. Textuelle Zusammenfassung deckt sich mit Logs.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UK/USA (Moorfields), Forschungssetting; zeigt, welche Pipeline-Schritte (Ideengeneration, Planungsentwurf) ohne Expertise funktionieren, welche (Formellogik, Kohortengrenzen) Verifizierung brauchen.</w:t>
      </w:r>
    </w:p>
    <w:p>
      <w:r>
        <w:rPr>
          <w:color w:val="5A7D3A"/>
          <w:sz w:val="18"/>
        </w:rPr>
        <w:t>https://pubmed.ncbi.nlm.nih.gov/42709964/</w:t>
      </w:r>
    </w:p>
    <w:p>
      <w:pPr>
        <w:pStyle w:val="Heading2"/>
      </w:pPr>
      <w:r>
        <w:t>Automatisierte Erfassung von Tumorrezidiv und Metastasen aus CT-Berichten mittels Deep Learning</w:t>
      </w:r>
    </w:p>
    <w:p>
      <w:r>
        <w:rPr>
          <w:i/>
          <w:color w:val="666666"/>
          <w:sz w:val="18"/>
        </w:rPr>
        <w:t>Jo W et al.  ·  JMIR Med Inform  ·  08.09.2026  ·  PMID 42709940</w:t>
      </w:r>
    </w:p>
    <w:p>
      <w:r>
        <w:t>Semisupervised Deep-Learning-Klassifikation (mit Rule-based und Medical BERT) zur Extraktion von Rezidiv- und Metastasenangaben aus 288.076 postoperativen CT-Berichten (86.083 Krebspatienten), mit expliziter Modellierung diagnostischer Unsicherheit.</w:t>
      </w:r>
    </w:p>
    <w:p>
      <w:r>
        <w:rPr>
          <w:b/>
        </w:rPr>
        <w:t xml:space="preserve">Ergebnis: </w:t>
      </w:r>
      <w:r>
        <w:t>Multiclass-Genauigkeit Rezidiv 97,33 %, Metastasen 95,00 %. Binäre Klassifikation: 99,33 % und 96,67 %. Ärztliche Interrater-Konsistenz Multiclass: 96,88 % (Rezidiv) und 93,80 % (Metastasen). &lt;1 % der Berichte manuell annotiert; diagnostische Unsicherheit in 1,4 % Rezidiv-, 6,9 % Metastasenfälle erfasst. Rule-Algorithm outperformte teilweise Deep-Learning-Modelle.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(Asan Medical Center); große reale Datenbank, aber interne Validierung; Multicenter-Prospektivstudie zur Generalisierbarkeit nötig.</w:t>
      </w:r>
    </w:p>
    <w:p>
      <w:r>
        <w:rPr>
          <w:color w:val="5A7D3A"/>
          <w:sz w:val="18"/>
        </w:rPr>
        <w:t>https://pubmed.ncbi.nlm.nih.gov/42709940/</w:t>
      </w:r>
    </w:p>
    <w:p>
      <w:pPr>
        <w:pStyle w:val="Heading2"/>
      </w:pPr>
      <w:r>
        <w:t>Telemedizinische vs. telefonische vs. präsenzielle psychische Gesundheitsversorgung: Ergebnisvergleich</w:t>
      </w:r>
    </w:p>
    <w:p>
      <w:r>
        <w:rPr>
          <w:i/>
          <w:color w:val="666666"/>
          <w:sz w:val="18"/>
        </w:rPr>
        <w:t>Connolly SL et al.  ·  JAMA Netw Open  ·  01.09.2026  ·  PMID 42709434</w:t>
      </w:r>
    </w:p>
    <w:p>
      <w:r>
        <w:t>Retrospektive Vergleichseffektivitätsstudie an 813.699 Veteranen der USA (mittl. Follow-up 1 Jahr, 2022–2023) zur psychischen Versorgung per Videocall, Telefon oder präsenzielle Termine anhand administrativer Daten.</w:t>
      </w:r>
    </w:p>
    <w:p>
      <w:r>
        <w:rPr>
          <w:b/>
        </w:rPr>
        <w:t xml:space="preserve">Ergebnis: </w:t>
      </w:r>
      <w:r>
        <w:t>Videocall-Kohorte (42,2 %): 0,9 % stationär-psychiatrisch, 1,5 % ED-Besuche, 1,0 % Suizidverhalten; Präsenz (37,5 %): 2,1 %, 2,6 %, 1,2 %; Telefon (20,3 %): 1,6 %, 2,3 %, 1,3 %. Inverse-Probability-Gewichtung: Video vs. Telefon um 0,5 Prozentpunkte niedrigere Hospitalisierungsrate, ebenso vs. Präsenz. Termine-Abschlussquote Video 71,1 %, Präsenz 68,0 %, Telefon 68,4 %. Effektgrößen klein; Residualconfounding trotz Kontrolle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(VA), aber Versorgungsstruktur partiell übertragbar; Videotelezmedizin zeigt klinische Vorteile auch in Deutschland-ähnlichen Systemen.</w:t>
      </w:r>
    </w:p>
    <w:p>
      <w:r>
        <w:rPr>
          <w:color w:val="5A7D3A"/>
          <w:sz w:val="18"/>
        </w:rPr>
        <w:t>https://pubmed.ncbi.nlm.nih.gov/42709434/</w:t>
      </w:r>
    </w:p>
    <w:p>
      <w:pPr>
        <w:pStyle w:val="Heading2"/>
      </w:pPr>
      <w:r>
        <w:t>Machine-Learning-Modell zur Triage in Schwedens Darmkrebs-Screening</w:t>
      </w:r>
    </w:p>
    <w:p>
      <w:r>
        <w:rPr>
          <w:i/>
          <w:color w:val="666666"/>
          <w:sz w:val="18"/>
        </w:rPr>
        <w:t>van Nieuwenhoven MA et al.  ·  BMC Med Inform Decis Mak  ·  03.09.2026  ·  PMID 42706535</w:t>
      </w:r>
    </w:p>
    <w:p>
      <w:r>
        <w:t>Externe Validierung von zwei Modellen (logistische Regression und CatBoost) zur Priorisierung von Schnellbahn-Koloskopien anhand von FIT-Ergebnis, Laborwerten und Symptomen an schwedischen Patienten.</w:t>
      </w:r>
    </w:p>
    <w:p>
      <w:r>
        <w:rPr>
          <w:b/>
        </w:rPr>
        <w:t xml:space="preserve">Ergebnis: </w:t>
      </w:r>
      <w:r>
        <w:t>Entwicklungs-AUC 0,77–0,81; externe Validierungs-AUC nur 0,66–0,67. Kalibrierungsverlust beobachtet. Diskriminationsgüte bescheiden; Überlegenheit gegenüber Eingangskriterium nicht nachgewiesen, da alle Patienten koloskopiert wurden. FIT, verdächtige Bildgebung und Alter wichtigste 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 dezentrales Gesundheitssystem; External Validation zeigt Generalisierungsprobleme – zentrale Lehre für regionale Implementierung auch in Deutschland.</w:t>
      </w:r>
    </w:p>
    <w:p>
      <w:r>
        <w:rPr>
          <w:color w:val="5A7D3A"/>
          <w:sz w:val="18"/>
        </w:rPr>
        <w:t>https://pubmed.ncbi.nlm.nih.gov/42706535/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