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06.09.2026  |  6 Studien  |  ki.m-vf.de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Surface-gesteuerte Atemtraining für tiefe Inspiration in der Brustkrebsbestrahlung</w:t>
      </w:r>
    </w:p>
    <w:p>
      <w:r>
        <w:rPr>
          <w:i/>
          <w:color w:val="666666"/>
          <w:sz w:val="18"/>
        </w:rPr>
        <w:t>Dietrich L et al.  ·  Radiat Oncol  ·  04.09.2026  ·  PMID 42698070</w:t>
      </w:r>
    </w:p>
    <w:p>
      <w:r>
        <w:t>Retrospektive Kohorte von 115 Brustkrebspatientinnen in Deutschland, die das Effekt von oberflächengestütztem Atemtraining auf Zuverlässigkeit und Kardialschutz bei Deep Inspiration Breath Hold (DIBH) untersuchte.</w:t>
      </w:r>
    </w:p>
    <w:p>
      <w:r>
        <w:rPr>
          <w:b/>
        </w:rPr>
        <w:t xml:space="preserve">Ergebnis: </w:t>
      </w:r>
      <w:r>
        <w:t>Nach Training: alle CT-Aufnahmen in Atemhaltezustand, Teillung der Lungenvolume um ~9% gestiegen, Variabilität der Atemanhalte um ~26% gesunken; Herzostdosen um bis zu 96% reduziert bei gleichzeitiger Zielabdeckung. Training beseitigte unzureichende DIBH-Aufnahmen und ermöglichte klinisch bedeutsame Dosisreduktion.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Dokumentationspflichten</w:t>
      </w:r>
    </w:p>
    <w:p>
      <w:r>
        <w:rPr>
          <w:color w:val="5A7D3A"/>
          <w:sz w:val="18"/>
        </w:rPr>
        <w:t>https://pubmed.ncbi.nlm.nih.gov/42698070/</w:t>
      </w:r>
    </w:p>
    <w:p>
      <w:pPr>
        <w:pStyle w:val="Heading2"/>
      </w:pPr>
      <w:r>
        <w:t>Elektronische Patientenakte für Diabetesforschung: eine multietnische Bevölkerungskohorte</w:t>
      </w:r>
    </w:p>
    <w:p>
      <w:r>
        <w:rPr>
          <w:i/>
          <w:color w:val="666666"/>
          <w:sz w:val="18"/>
        </w:rPr>
        <w:t>Schaefer Z et al.  ·  BMJ Open  ·  04.09.2026  ·  PMID 42697579</w:t>
      </w:r>
    </w:p>
    <w:p>
      <w:r>
        <w:t>Kohortenprofile aus London mit 337.271 Patientinnen und Patienten mit Diabetes (Typ 1, Typ 2, Gestations-, unspezifisch), erfasst Demografie, klinische Daten und 14 Diabetes-Komplikationen longitudinal zur Grundlage für Prognosemodelierung.</w:t>
      </w:r>
    </w:p>
    <w:p>
      <w:r>
        <w:rPr>
          <w:b/>
        </w:rPr>
        <w:t xml:space="preserve">Ergebnis: </w:t>
      </w:r>
      <w:r>
        <w:t>Diabetische Retinopathie häufigste Komplikation (74,6 pro 1.000 Personenjahre), gefolgt von Hypertonie (51,0) und Nierenkrankheit (31,4). Signifikante ethnische Disparitäten: Schwarz-, Asiatische, gemischte und andere Etnien zeigen erhöhtes Risiko vs. Weiße. Starke Clusterung zwischen kardiovaskulären und renalen Komplikationen.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Elektronische Patientenakte, vergleichbares Versicherungssystem</w:t>
      </w:r>
    </w:p>
    <w:p>
      <w:r>
        <w:rPr>
          <w:color w:val="5A7D3A"/>
          <w:sz w:val="18"/>
        </w:rPr>
        <w:t>https://pubmed.ncbi.nlm.nih.gov/42697579/</w:t>
      </w:r>
    </w:p>
    <w:p>
      <w:pPr>
        <w:pStyle w:val="Heading2"/>
      </w:pPr>
      <w:r>
        <w:t>KI-Nutzung unter Pflegestudentinnen und -studenten: Chancen und Sorgen</w:t>
      </w:r>
    </w:p>
    <w:p>
      <w:r>
        <w:rPr>
          <w:i/>
          <w:color w:val="666666"/>
          <w:sz w:val="18"/>
        </w:rPr>
        <w:t>Taka I et al.  ·  JMIR Nurs  ·  31.08.2026  ·  PMID 42684392</w:t>
      </w:r>
    </w:p>
    <w:p>
      <w:r>
        <w:t>Querschnittsstudie mit 279 Pflegestudentinnen und -studenten in Albanien zur Wahrnehmung von KI-Einsatz, Nutzungsmuster und Auswirkungen auf Lernergebnisse und professionelle Vorbereitung.</w:t>
      </w:r>
    </w:p>
    <w:p>
      <w:r>
        <w:rPr>
          <w:b/>
        </w:rPr>
        <w:t xml:space="preserve">Ergebnis: </w:t>
      </w:r>
      <w:r>
        <w:t>83,9% nutzen KI (v.a. ChatGPT), hauptsächlich zur Informationssuche (92,3%) und Verständnis von Vorlesungen (41%). Gemessen auf 1-5-Skala: moderate wahrgenommene Auswirkung auf Verständnis (2,58) und Prüfungsvorbereitung (2,58), geringe auf Selbstvertrauen (1,97) und Empathie (1,90). Studierende äußerten Bedenken zu KI-Zuverlässigkeit (3,18) und Abhängigkeit (2,75).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(Albanien), aber Strukturen unterscheiden sich von Deutschland</w:t>
      </w:r>
    </w:p>
    <w:p>
      <w:r>
        <w:rPr>
          <w:color w:val="5A7D3A"/>
          <w:sz w:val="18"/>
        </w:rPr>
        <w:t>https://pubmed.ncbi.nlm.nih.gov/42684392/</w:t>
      </w:r>
    </w:p>
    <w:p>
      <w:pPr>
        <w:pStyle w:val="Heading2"/>
      </w:pPr>
      <w:r>
        <w:t>Spontane KI-Adoption in italienischen Hausarztpraxen überholt governance</w:t>
      </w:r>
    </w:p>
    <w:p>
      <w:r>
        <w:rPr>
          <w:i/>
          <w:color w:val="666666"/>
          <w:sz w:val="18"/>
        </w:rPr>
        <w:t>Lucis R et al.  ·  Recenti Prog Med  ·  Sept. 2026  ·  PMID 42684170</w:t>
      </w:r>
    </w:p>
    <w:p>
      <w:r>
        <w:t>Nationale Querschnittsumfrage von 287 italienischen Hausärztinnen und Hausärzten zur Adoption von KI (ChatGPT) und Telemedizin in der Primärversorgung.</w:t>
      </w:r>
    </w:p>
    <w:p>
      <w:r>
        <w:rPr>
          <w:b/>
        </w:rPr>
        <w:t xml:space="preserve">Ergebnis: </w:t>
      </w:r>
      <w:r>
        <w:t>92,3% vertraut mit digitaler Technologie, strukturierte Telemedizin aber nur 26,5% etabliert; generative KI (ChatGPT) spontan von 51,2% übernommen (hauptsächlich Verwaltungsbelastung). Binäre logistische Regression: jüngeres Alter und wissenschaftliche Aktivität unabhängige Prädiktoren für ChatGPT-Adoption (p&lt;0,05). Gesamttrend: spontane KI-Übernahme läuft schneller als formale Governance.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Gesundheitssystem, DM 77/2022-Kontext</w:t>
      </w:r>
    </w:p>
    <w:p>
      <w:r>
        <w:rPr>
          <w:color w:val="5A7D3A"/>
          <w:sz w:val="18"/>
        </w:rPr>
        <w:t>https://pubmed.ncbi.nlm.nih.gov/42684170/</w:t>
      </w:r>
    </w:p>
    <w:p>
      <w:pPr>
        <w:pStyle w:val="Heading2"/>
      </w:pPr>
      <w:r>
        <w:t>KI-gestützte Doppelbefundung in europäischen Mammographie-Screening-Programmen</w:t>
      </w:r>
    </w:p>
    <w:p>
      <w:r>
        <w:rPr>
          <w:i/>
          <w:color w:val="666666"/>
          <w:sz w:val="18"/>
        </w:rPr>
        <w:t>Ferre R et al.  ·  Clin Imaging  ·  11.08.2026  ·  PMID 42617468</w:t>
      </w:r>
    </w:p>
    <w:p>
      <w:r>
        <w:t>Systematische Übersicht und Meta-Analyse von drei prospektiven Programmevaluationen (MASAI, ScreenTrustCAD, PRAIM) mit insgesamt 597.419 Mammografien in europäischen Screeningprogrammen mit Doppelbefundung und Schiedsverfahren.</w:t>
      </w:r>
    </w:p>
    <w:p>
      <w:r>
        <w:rPr>
          <w:b/>
        </w:rPr>
        <w:t xml:space="preserve">Ergebnis: </w:t>
      </w:r>
      <w:r>
        <w:t>KI als zusätzliche Befunderin: gepoolte Krebserkennung +0,9 pro 1.000 Untersuchungen (95%-KI –0,0 bis +1,8), Rückrufquote –0,6 pro 1.000 (95%-KI –3,1 bis +2,1). Positive Vorhersagewert höher mit KI. Effizienzgewinne: 44,3% weniger Gesamtbefundungen (MASAI), kürzere Lesezeiten (PRAIM). Sicherheitsmechanismus (PRAIM) rettete 204 sonst übersehene Karzinome.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Screeningprogramme, direkt übertragbar auf deutsche Strukturen</w:t>
      </w:r>
    </w:p>
    <w:p>
      <w:r>
        <w:rPr>
          <w:color w:val="5A7D3A"/>
          <w:sz w:val="18"/>
        </w:rPr>
        <w:t>https://pubmed.ncbi.nlm.nih.gov/42617468/</w:t>
      </w:r>
    </w:p>
    <w:p>
      <w:pPr>
        <w:pStyle w:val="Heading2"/>
      </w:pPr>
      <w:r>
        <w:t>Pflegeheim-Bewohnerinnen und -Bewohner in Telemedizin: qualitative Studie</w:t>
      </w:r>
    </w:p>
    <w:p>
      <w:r>
        <w:rPr>
          <w:i/>
          <w:color w:val="666666"/>
          <w:sz w:val="18"/>
        </w:rPr>
        <w:t>Ärlebrant L et al.  ·  J Prim Care Community Health  ·  18.08.2026  ·  PMID 42610623</w:t>
      </w:r>
    </w:p>
    <w:p>
      <w:r>
        <w:t>Qualitative Studie mit 10 Langzeitpflege-Bewohnerinnen und -Bewohnern (59–96 Jahre) in Schweden zum Erleben von Videosprechstunden mit ihrer regulären Hausärztin/ihrem Hausarzt.</w:t>
      </w:r>
    </w:p>
    <w:p>
      <w:r>
        <w:rPr>
          <w:b/>
        </w:rPr>
        <w:t xml:space="preserve">Ergebnis: </w:t>
      </w:r>
      <w:r>
        <w:t>Zwei Hauptthemen: (1) emotionales Erleben von Verbundenheit trotz räumlicher Distanz, (2) Bedingungen, die Zugang ermöglichen, prägen oder erschweren die Nutzung. Kontextfaktoren und individuelle Vorlieben wichtiger als Alter; Verhalten der Arzt/Ärztin zentral. Videosprechstunden sollten Ergänzung zu Vor-Ort-Terminen bleiben; Risiken: reduzierte Autonomie, Datenschutz, technische Grenzen.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nordisches System mit höherem Digitalisierungsgrad als Deutschland</w:t>
      </w:r>
    </w:p>
    <w:p>
      <w:r>
        <w:rPr>
          <w:color w:val="5A7D3A"/>
          <w:sz w:val="18"/>
        </w:rPr>
        <w:t>https://pubmed.ncbi.nlm.nih.gov/42610623/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