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Digitalisierung, KI und Gesundheit</w:t>
      </w:r>
    </w:p>
    <w:p>
      <w:r>
        <w:rPr>
          <w:i/>
          <w:color w:val="666666"/>
          <w:sz w:val="18"/>
        </w:rPr>
        <w:t>Stand: 28.08.2026  |  6 Studien  |  ki.m-vf.de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KI-gestützte Hüftfraktur-Vorhersage in der Bevölkerungs-Screening-Untersuchung</w:t>
      </w:r>
    </w:p>
    <w:p>
      <w:r>
        <w:rPr>
          <w:i/>
          <w:color w:val="666666"/>
          <w:sz w:val="18"/>
        </w:rPr>
        <w:t>Axelsson KF et al.  ·  PLoS Med  ·  27.08.2026  ·  PMID 42658839</w:t>
      </w:r>
    </w:p>
    <w:p>
      <w:r>
        <w:t>Eine schwedische Kohortenstudie entwickelte und validierte ein Deep-Learning-Modell (FRACTURE-ML) zur Vorhersage von Hüftfraktur-Risiko bei über 3,5 Millionen Personen ab 50 Jahren anhand von Diagnosen, Medikamenten und soziodemografischen Daten aus Routineunterlagen.</w:t>
      </w:r>
    </w:p>
    <w:p>
      <w:r>
        <w:rPr>
          <w:b/>
        </w:rPr>
        <w:t xml:space="preserve">Ergebnis: </w:t>
      </w:r>
      <w:r>
        <w:t>Das Modell erreichte eine AUC von 0,89 (95%-KI 0,88–0,89) im 1-Jahres-Horizont und 0,87 im 2-Jahres-Horizont und identifizierte bei 2-Jahres-Prognose 84 % der Risikopersonen (Sensitivität) gegenüber nur 12 % bei klassischer Fraktur-Liason-Prävention (Vergleich mit Spezifität 0,79 vs. 0,98). Das Tool könnte als ressourceneffiziente primäre Screening-Lösung eingesetzt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 nationale Registerkohorte, vergleichbare öffentliche Gesundheitssysteme.</w:t>
      </w:r>
    </w:p>
    <w:p>
      <w:r>
        <w:rPr>
          <w:color w:val="5A7D3A"/>
          <w:sz w:val="18"/>
        </w:rPr>
        <w:t>https://pubmed.ncbi.nlm.nih.gov/42658839/</w:t>
      </w:r>
    </w:p>
    <w:p>
      <w:pPr>
        <w:pStyle w:val="Heading2"/>
      </w:pPr>
      <w:r>
        <w:t>KI-Kompetenz, Angst und Haltung von Pflegekräften in Krankenhäusern verschiedener Tiers</w:t>
      </w:r>
    </w:p>
    <w:p>
      <w:r>
        <w:rPr>
          <w:i/>
          <w:color w:val="666666"/>
          <w:sz w:val="18"/>
        </w:rPr>
        <w:t>Dai Y et al.  ·  Front Public Health  ·  12.08.2026  ·  PMID 42656574</w:t>
      </w:r>
    </w:p>
    <w:p>
      <w:r>
        <w:t>Eine Multi-Center-Querschnittsstudie mit 1.392 registrierten Krankenpfleger(inne)n in Chongqing untersuchte KI-Kompetenz, KI-Angst und Einstellungen zur KI in Krankenhäusern auf unterschiedlichen Versorgungsstufen.</w:t>
      </w:r>
    </w:p>
    <w:p>
      <w:r>
        <w:rPr>
          <w:b/>
        </w:rPr>
        <w:t xml:space="preserve">Ergebnis: </w:t>
      </w:r>
      <w:r>
        <w:t>KI-Kompetenz betrug 5,27±0,90 (75,29 % Scoring-Rate). KI-Angst war moderat (51,29 %), mit höchsten Bedenken bei Jobverlust (55,14 %) und Wissenslücken (56,43 %). Gesamteinstellung war positiv (74,00 %). KI-Kompetenz korrelierte negativ mit Angst (r=−0,338, p&lt;0,001) und positiv mit Einstellung (r=0,551, p&lt;0,001). Kompetenz erklärte 9,9 % der Angst-Varianz und 29,4 % der Einstellungs-Varianz; niedriger Geräte-Zugang war mit höherer Angst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Chongqing/China; relevante Erkenntnisse für Pflegekraft-Integration und Unterstützungsstrukturen.</w:t>
      </w:r>
    </w:p>
    <w:p>
      <w:r>
        <w:rPr>
          <w:color w:val="5A7D3A"/>
          <w:sz w:val="18"/>
        </w:rPr>
        <w:t>https://pubmed.ncbi.nlm.nih.gov/42656574/</w:t>
      </w:r>
    </w:p>
    <w:p>
      <w:pPr>
        <w:pStyle w:val="Heading2"/>
      </w:pPr>
      <w:r>
        <w:t>Pflegeperson-gestützte digitale Therapeutika für Typ-2-Diabetes: Adhärenz und glykämische Ergebnisse</w:t>
      </w:r>
    </w:p>
    <w:p>
      <w:r>
        <w:rPr>
          <w:i/>
          <w:color w:val="666666"/>
          <w:sz w:val="18"/>
        </w:rPr>
        <w:t>Ma J et al.  ·  Front Public Health  ·  12.08.2026  ·  PMID 42656516</w:t>
      </w:r>
    </w:p>
    <w:p>
      <w:r>
        <w:t>Eine retrospektive Kohortenstudie in China evaluierte einen strukturierten, pflegeperson-geleiteten Digitale-Therapeutika-Pfad (Readiness-Screening, Schulung, Adhärenz-Monitoring, Feedback, Koordination) in der Routineversorgung von Typ-2-Diabetes-Patienten über 24 Wochen.</w:t>
      </w:r>
    </w:p>
    <w:p>
      <w:r>
        <w:rPr>
          <w:b/>
        </w:rPr>
        <w:t xml:space="preserve">Ergebnis: </w:t>
      </w:r>
      <w:r>
        <w:t>Die pflegeperson-gestützte Intervention erzielte 78,3 % Adhärenz vs. 54,7 % in der Kontrollgruppe (Differenz 23,6 Prozentpunkte; p&lt;0,001). HbA1c-Reduktion war −0,8 % vs. −0,3 % (Differenz −0,5 Prozentpunkte; p&lt;0,001). Auch PSQ-18-Zufriedenheitsscores, Selbstmanagement und glykämische Variabilität waren besser. Die Pflegeintegration war stärkster Faktor für anhaltende Adhärenz.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retrospektiv Single-Center; prospektive Multicenter-Studien vor breiter Implementierung erforderlich.</w:t>
      </w:r>
    </w:p>
    <w:p>
      <w:r>
        <w:rPr>
          <w:color w:val="5A7D3A"/>
          <w:sz w:val="18"/>
        </w:rPr>
        <w:t>https://pubmed.ncbi.nlm.nih.gov/42656516/</w:t>
      </w:r>
    </w:p>
    <w:p>
      <w:pPr>
        <w:pStyle w:val="Heading2"/>
      </w:pPr>
      <w:r>
        <w:t>EKG-Interpretation mit KI im klinischen Alltag: ethische Perspektiven von Ärztinnen und Ärzten</w:t>
      </w:r>
    </w:p>
    <w:p>
      <w:r>
        <w:rPr>
          <w:i/>
          <w:color w:val="666666"/>
          <w:sz w:val="18"/>
        </w:rPr>
        <w:t>Allgårdh G et al.  ·  BMC Med Ethics  ·  26.08.2026  ·  PMID 42649493</w:t>
      </w:r>
    </w:p>
    <w:p>
      <w:r>
        <w:t>Qualitative Interviews mit 12 schwedischen Fachleuten untersuchten, wie KI-unterstützte Elektrokardiografie (AI-ECG) in den Klinikalltag integriert werden könnte – ein hochvolumiges Feld mit großem Potenzial für Workflow-Veränderung.</w:t>
      </w:r>
    </w:p>
    <w:p>
      <w:r>
        <w:rPr>
          <w:b/>
        </w:rPr>
        <w:t xml:space="preserve">Ergebnis: </w:t>
      </w:r>
      <w:r>
        <w:t>Ärzte sehen Potenzial für verbesserte Diagnosegenauigkeit, Priorisierung und Entlastung. Gleichzeitig wurden Bedenken geäußert: Übervertrauen, fehlende Accountability, Deskilling durch zu hohe Automatisierung, sowie ethische Fragen bei Zufallsbefunden und deren Offenlegung. Die Ärzte fordern Real-World-Validierung, Beachtung von Alert-Burden und Protokolle für prognostische Befunde.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Stockholm, Schweden – vergleichbare Versorgungsstrukturen.</w:t>
      </w:r>
    </w:p>
    <w:p>
      <w:r>
        <w:rPr>
          <w:color w:val="5A7D3A"/>
          <w:sz w:val="18"/>
        </w:rPr>
        <w:t>https://pubmed.ncbi.nlm.nih.gov/42649493/</w:t>
      </w:r>
    </w:p>
    <w:p>
      <w:pPr>
        <w:pStyle w:val="Heading2"/>
      </w:pPr>
      <w:r>
        <w:t>KI in der Neurologie: europäische Task Force entwirft Lehr- und Implementierungs-Rahmen</w:t>
      </w:r>
    </w:p>
    <w:p>
      <w:r>
        <w:rPr>
          <w:i/>
          <w:color w:val="666666"/>
          <w:sz w:val="18"/>
        </w:rPr>
        <w:t>Accorroni A et al.  ·  Eur J Neurol  ·  Aug. 2026  ·  PMID 42627286</w:t>
      </w:r>
    </w:p>
    <w:p>
      <w:r>
        <w:t>Die Europäische Akademie für Neurologie gründete eine multidisziplinäre Task Force zur Schließung von Bildungs-, ethischen und regulatorischen Lücken bei der KI-Integration in der klinischen Neurologie.</w:t>
      </w:r>
    </w:p>
    <w:p>
      <w:r>
        <w:rPr>
          <w:b/>
        </w:rPr>
        <w:t xml:space="preserve">Ergebnis: </w:t>
      </w:r>
      <w:r>
        <w:t>Die Task Force hat einen modularen Lehrplan entwickelt (technische Grundlagen, klinische Anwendungen, ethische Implikationen, regulatorische Compliance) und eine europaweite Umfrage durchgeführt, um Wissenslücken und systemische Barrieren zu identifizieren. Geplante Ressourcen: E-Learning-Module, Podcasts, Masterclasses und interaktive Kongresssitzungen. Die Task Force wird Empfehlungen zur ethischen und regulatorischen Dimension erarbeiten.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Europa-weiter Ansatz, primär deutschsprachiger und europäischer Fokus.</w:t>
      </w:r>
    </w:p>
    <w:p>
      <w:r>
        <w:rPr>
          <w:color w:val="5A7D3A"/>
          <w:sz w:val="18"/>
        </w:rPr>
        <w:t>https://pubmed.ncbi.nlm.nih.gov/42627286/</w:t>
      </w:r>
    </w:p>
    <w:p>
      <w:pPr>
        <w:pStyle w:val="Heading2"/>
      </w:pPr>
      <w:r>
        <w:t>Diagnostisch kalibrierte KI-Bildqualitäts-Bewertung für Prostatakrebserkennung in MRT</w:t>
      </w:r>
    </w:p>
    <w:p>
      <w:r>
        <w:rPr>
          <w:i/>
          <w:color w:val="666666"/>
          <w:sz w:val="18"/>
        </w:rPr>
        <w:t>Coelho TF et al.  ·  Radiology  ·  Aug. 2026  ·  PMID 42610819</w:t>
      </w:r>
    </w:p>
    <w:p>
      <w:r>
        <w:t>Eine Single-Center-Studie entwickelte und validierte ein Deep-Learning-Framework zur automatisierten Bildqualitätsbewertung von Prostata-Multiparameter-MRT, das Bildqualitätsscores direkt an diagnostischer Leistung (csPCa-Detektion) kalibriert.</w:t>
      </w:r>
    </w:p>
    <w:p>
      <w:r>
        <w:rPr>
          <w:b/>
        </w:rPr>
        <w:t xml:space="preserve">Ergebnis: </w:t>
      </w:r>
      <w:r>
        <w:t>Das DL-Modell erreichte AUC 0,99 zur Unterscheidung niedrig- vs. hochqualitativer Bilder. In der diagnostischen Testgruppe (568 MPMRIs, 1638 Patienten) verbesserte sich das KI-Modell csPCa-Erkennung von AUC 0,92 (95%-KI 0,89–0,94) zu 0,99 (95%-KI 0,97–1,00; p=0,005); Radiologen-Genauigkeit stieg von 77 % auf 85 % (p=0,01). Das Framework verband Bildqualität direkt mit diagnostischem Ertrag.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Niederlande/Radboud UMC; methodisches Vorbild für diagnostische Validierung.</w:t>
      </w:r>
    </w:p>
    <w:p>
      <w:r>
        <w:rPr>
          <w:color w:val="5A7D3A"/>
          <w:sz w:val="18"/>
        </w:rPr>
        <w:t>https://pubmed.ncbi.nlm.nih.gov/42610819/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Digitalisierung, KI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2026-08-28T06:00:00Z</dcterms:created>
  <dcterms:modified xsi:type="dcterms:W3CDTF">2026-08-28T06:00:00Z</dcterms:modified>
  <cp:category/>
</cp:coreProperties>
</file>