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01.10.2026  |  6 Studien  |  ki.m-vf.de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GenAI-Einsatz in der ambulanten Psychotherapie: Adoptionsmuster und Schulungsbedarf</w:t>
      </w:r>
    </w:p>
    <w:p>
      <w:r>
        <w:rPr>
          <w:i/>
          <w:color w:val="666666"/>
          <w:sz w:val="18"/>
        </w:rPr>
        <w:t>Blease C et al.  ·  JMIR Ment Health  ·  30.09.2026  ·  PMID 42815888</w:t>
      </w:r>
    </w:p>
    <w:p>
      <w:r>
        <w:t>Bevölkerungsrepräsentative Befragung von 766 Psychotherapeuten in 30 Ländern zur Nutzung generativer KI-Tools wie ChatGPT im klinischen Alltag.</w:t>
      </w:r>
    </w:p>
    <w:p>
      <w:r>
        <w:rPr>
          <w:b/>
        </w:rPr>
        <w:t xml:space="preserve">Ergebnis: </w:t>
      </w:r>
      <w:r>
        <w:t>54,6 % der Therapeuten nutzen mindestens ein GenAI-Tool, primär zur Unterstützung der Behandlungsplanung (41,9 %), Verwaltung (41,4 %) und Psychoedukation (39,7 %); 82,8 % berichten Reduktion der Arbeitsbelastung, aber nur 18,1 % erhielten institutionelle Unterstützung und 81,1 % keine formale KI-Schulung.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Breites europäisches Sample (einschließlich Deutschland, Schweiz, Irland, UK); zeigt Alltagseinsatz ohne systematische Unterstützungsstrukturen.</w:t>
      </w:r>
    </w:p>
    <w:p>
      <w:r>
        <w:rPr>
          <w:color w:val="5A7D3A"/>
          <w:sz w:val="18"/>
        </w:rPr>
        <w:t>https://pubmed.ncbi.nlm.nih.gov/42815888/</w:t>
      </w:r>
    </w:p>
    <w:p>
      <w:pPr>
        <w:pStyle w:val="Heading2"/>
      </w:pPr>
      <w:r>
        <w:t>Telemedizin für Neugeborenenversorgung: Implementierungs-Toolkit für europäische Netzwerke</w:t>
      </w:r>
    </w:p>
    <w:p>
      <w:r>
        <w:rPr>
          <w:i/>
          <w:color w:val="666666"/>
          <w:sz w:val="18"/>
        </w:rPr>
        <w:t>Schedler T et al.  ·  J Med Internet Res  ·  30.09.2026  ·  PMID 42815034</w:t>
      </w:r>
    </w:p>
    <w:p>
      <w:r>
        <w:t>Qualitative Implementierungsstudie mit Experts aus Österreich, Niederlande, Deutschland zur systematischen Einführung von TeleNeonatology-Angeboten.</w:t>
      </w:r>
    </w:p>
    <w:p>
      <w:r>
        <w:rPr>
          <w:b/>
        </w:rPr>
        <w:t xml:space="preserve">Ergebnis: </w:t>
      </w:r>
      <w:r>
        <w:t>Strukturiertes Toolkit mit Checklisten und Planungsrichtlinien zur Gestaltung von Telemedizin-Workflows mit Fokus auf Stakeholder-Engagement, Prozessdesign und Evaluation; zeigt zentrale Implementierungshindernisse sind organisatorische und infrastrukturelle Faktoren, nicht primär Technologie.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Deutsch-sprachige und benachbarte Systeme; vergleichbare Netzwerk-Strukturen in Neugeborenenmedizin.</w:t>
      </w:r>
    </w:p>
    <w:p>
      <w:r>
        <w:rPr>
          <w:color w:val="5A7D3A"/>
          <w:sz w:val="18"/>
        </w:rPr>
        <w:t>https://pubmed.ncbi.nlm.nih.gov/42815034/</w:t>
      </w:r>
    </w:p>
    <w:p>
      <w:pPr>
        <w:pStyle w:val="Heading2"/>
      </w:pPr>
      <w:r>
        <w:t>mHealth-Apps in portugiesischer Allgemeinmedizin: Nutzung, Lücken und Regulierungsbedarf</w:t>
      </w:r>
    </w:p>
    <w:p>
      <w:r>
        <w:rPr>
          <w:i/>
          <w:color w:val="666666"/>
          <w:sz w:val="18"/>
        </w:rPr>
        <w:t>Taveira É et al.  ·  JMIR Form Res  ·  30.09.2026  ·  PMID 42815018</w:t>
      </w:r>
    </w:p>
    <w:p>
      <w:r>
        <w:t>Querschnittsstudie mit 141 Hausärzten in Portugal zu Adoption, Auswahl und Hürden bei der Nutzung von Mobil-Health-Anwendungen im klinischen Alltag.</w:t>
      </w:r>
    </w:p>
    <w:p>
      <w:r>
        <w:rPr>
          <w:b/>
        </w:rPr>
        <w:t xml:space="preserve">Ergebnis: </w:t>
      </w:r>
      <w:r>
        <w:t>97,9 % sind Apps bekannt, 85,1 % nutzen sie (v. a. während Konsultationen: 92,5 %); Haupttreiber sind Usability (95,0 %) und evidenzbasierte Wirksamkeit (65,8 %); Barrieren: fehlende Transparenz (84,2 %), keine nationalen Evaluationsstandards (47,5 %), mangelhafte Interoperabilität (71,4 % der Nicht-Nutzer); 56,0 % sehen KI-Integration positiv, v. a. für Entscheidungsunterstützung (80,9 %), aber Bedenken zu Sicherheit/Datenschutz (74,5 %).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Sozialversicherungssystem, regulatorische Situation vergleichbar Deutschland/Schweiz.</w:t>
      </w:r>
    </w:p>
    <w:p>
      <w:r>
        <w:rPr>
          <w:color w:val="5A7D3A"/>
          <w:sz w:val="18"/>
        </w:rPr>
        <w:t>https://pubmed.ncbi.nlm.nih.gov/42815018/</w:t>
      </w:r>
    </w:p>
    <w:p>
      <w:pPr>
        <w:pStyle w:val="Heading2"/>
      </w:pPr>
      <w:r>
        <w:t>KI-Akzeptanz und professionelle Identität im klinischen Alltag: Deutsche Querschnittsstudie</w:t>
      </w:r>
    </w:p>
    <w:p>
      <w:r>
        <w:rPr>
          <w:i/>
          <w:color w:val="666666"/>
          <w:sz w:val="18"/>
        </w:rPr>
        <w:t>Moldt JA et al.  ·  JMIR Med Educ  ·  30.09.2026  ·  PMID 42814991</w:t>
      </w:r>
    </w:p>
    <w:p>
      <w:r>
        <w:t>Befragung von 93 Medizinstudierenden und 65 Kliniker:innen sowie quasi-randomisierte Szenarien-Tests zur Wahrnehmung von KI-Einsatz, professioneller Bedrohung und Bewertung von Erklärbarkeit.</w:t>
      </w:r>
    </w:p>
    <w:p>
      <w:r>
        <w:rPr>
          <w:b/>
        </w:rPr>
        <w:t xml:space="preserve">Ergebnis: </w:t>
      </w:r>
      <w:r>
        <w:t>Positive Erwartungen an KI koexistieren mit Sorgen um professionelle Identität; Medizinstudierende berichten stärkere Identity Threat als praktizierende Ärzt:innen trotz ähnlicher Erwartungen (p &lt; 0,05); bei Bewertung von KI-gestützten Entscheidungen unterschieden sich Explainability-Ratings signifikant zwischen Szenarien (p = 0,007), bei Triage-Aufgaben deutlich niedriger; Trustworthiness und Responsibility blieben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Universitätsmedizin Tübingen, Deutschland; Studienpopulation mit deutschem Ausbildungskontext.</w:t>
      </w:r>
    </w:p>
    <w:p>
      <w:r>
        <w:rPr>
          <w:color w:val="5A7D3A"/>
          <w:sz w:val="18"/>
        </w:rPr>
        <w:t>https://pubmed.ncbi.nlm.nih.gov/42814991/</w:t>
      </w:r>
    </w:p>
    <w:p>
      <w:pPr>
        <w:pStyle w:val="Heading2"/>
      </w:pPr>
      <w:r>
        <w:t>Conversational AI in hereditärem Krebsscreening: Design und Governance für klinische Integration</w:t>
      </w:r>
    </w:p>
    <w:p>
      <w:r>
        <w:rPr>
          <w:i/>
          <w:color w:val="666666"/>
          <w:sz w:val="18"/>
        </w:rPr>
        <w:t>Lammert D et al.  ·  JMIR Hum Factors  ·  30.09.2026  ·  PMID 42814961</w:t>
      </w:r>
    </w:p>
    <w:p>
      <w:r>
        <w:t>Qualitative Anforderungsanalyse mit 18 Stakeholdern (Fachpersonen, Patienten, Regulatoren) zu Bedingungen für verantwortungsvolle Integration eines sprachgesteuerten KI-Systems in die BRCA-Beratung.</w:t>
      </w:r>
    </w:p>
    <w:p>
      <w:r>
        <w:rPr>
          <w:b/>
        </w:rPr>
        <w:t xml:space="preserve">Ergebnis: </w:t>
      </w:r>
      <w:r>
        <w:t>Verantwortliches Design wird nicht primär durch Generic-Prinzipien definiert, sondern durch rekurrente Spannungen: (1) Barrierefreiheit vs. klinische Rollengrenzen, (2) Vereinfachung vs. Genauigkeit/Transparenz, (3) Skalierbarkeit vs. Governance; daraus ergeben sich Anforderungen für Systemfähigkeiten: begrenzte Autorität, Menschliches Monitoring, Kontext-sensitive Kommunikation, Integration in klinische und regulatorische Strukturen, EU/deutschrechtliche Compliance (MDR, Datenschutz, Genetik-Transparenz).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Diskurs zu EU-KI-VO und Medizinprodukte-Regulierung, exemplarisch für erbliche Erkrankungen.</w:t>
      </w:r>
    </w:p>
    <w:p>
      <w:r>
        <w:rPr>
          <w:color w:val="5A7D3A"/>
          <w:sz w:val="18"/>
        </w:rPr>
        <w:t>https://pubmed.ncbi.nlm.nih.gov/42814961/</w:t>
      </w:r>
    </w:p>
    <w:p>
      <w:pPr>
        <w:pStyle w:val="Heading2"/>
      </w:pPr>
      <w:r>
        <w:t>Implementierungs-Komplexität digitaler Pflegeinnovationen: Evaluation eines strukturierten Reflexionsinstruments</w:t>
      </w:r>
    </w:p>
    <w:p>
      <w:r>
        <w:rPr>
          <w:i/>
          <w:color w:val="666666"/>
          <w:sz w:val="18"/>
        </w:rPr>
        <w:t>Walzer S et al.  ·  J Med Internet Res  ·  30.09.2026  ·  PMID 42814951</w:t>
      </w:r>
    </w:p>
    <w:p>
      <w:r>
        <w:t>Design-Science-Studie in Deutschland zur Entwicklung und Evaluation des Nursing Implementation Complexity Tool (NICT) zur Operationalisierung des NASSS-Frameworks für Implementierungsentscheidungen in der Pflege.</w:t>
      </w:r>
    </w:p>
    <w:p>
      <w:r>
        <w:rPr>
          <w:b/>
        </w:rPr>
        <w:t xml:space="preserve">Ergebnis: </w:t>
      </w:r>
      <w:r>
        <w:t>NICT entwickelt als Guideline, Canvas und Pocket-Card mit 4 Reflexionsdomänen; in summativer Evaluation (28 Teilnehmende Online-Befragung, 8 Think-Aloud-Interviews): 92,3 % (24/26) stimmten zu, dass NICT logisch strukturiert ist und strukturierte Reflexion ermöglicht; NICT fördert Diskussionen über Implementierungsdeterminanten, Stakeholder-Perspektiven und kontextuelle Einflussfaktoren; zeigt, wie konzeptuelle Frameworks in praxis-orientierte Reflexionswerkzeuge übersetzt werden können.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Projekt (Furtwangen, Freiburg), universelles Werkzeug für alle Digitalisierungs-Implementierungen in der Pflege.</w:t>
      </w:r>
    </w:p>
    <w:p>
      <w:r>
        <w:rPr>
          <w:color w:val="5A7D3A"/>
          <w:sz w:val="18"/>
        </w:rPr>
        <w:t>https://pubmed.ncbi.nlm.nih.gov/42814951/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