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20.08.2026  |  3 Studien  |  ki.m-vf.de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Klinische Entscheidungsunterstützung für Brustmultidisziplinäre Team-Meetings: validierte KI reduziert Behandlungsvariabilität</w:t>
      </w:r>
    </w:p>
    <w:p>
      <w:r>
        <w:rPr>
          <w:i/>
          <w:color w:val="666666"/>
          <w:sz w:val="18"/>
        </w:rPr>
        <w:t>Jeffery H et al.  ·  BMJ Health Care Inform  ·  19.08.2026  ·  PMID 42618288</w:t>
      </w:r>
    </w:p>
    <w:p>
      <w:r>
        <w:t>Qualitätsverbesserungsprojekt zur Validierung einer KI-gestützten Entscheidungsunterstützung (Deontics CDS) für Brust-MDT-Meetings basierend auf internationale Leitlinien an Brust-Chirurgiezentrum (London).</w:t>
      </w:r>
    </w:p>
    <w:p>
      <w:r>
        <w:rPr>
          <w:b/>
        </w:rPr>
        <w:t xml:space="preserve">Ergebnis: </w:t>
      </w:r>
      <w:r>
        <w:t>250 Patientinnen (100 benigne, 150 maligne) schrittweise hinzugefügt. Konkordanz zwischen MDT-Entscheidung und Standard-of-Care-Empfehlung verbesserte sich von 82% auf 100% (benigne) und von 94% auf 100% (maligne). Abschließend 100% Konkordanz für beide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Britisches Universitätsklinikum, internationale Guidelines, Strukturtransfer auf Deutschland möglich</w:t>
      </w:r>
    </w:p>
    <w:p>
      <w:r>
        <w:rPr>
          <w:color w:val="5A7D3A"/>
          <w:sz w:val="18"/>
        </w:rPr>
        <w:t>https://pubmed.ncbi.nlm.nih.gov/42618288/</w:t>
      </w:r>
    </w:p>
    <w:p>
      <w:pPr>
        <w:pStyle w:val="Heading2"/>
      </w:pPr>
      <w:r>
        <w:t>Telemedizinische Intervention mit Frühwarnsystem in Pflegeheimen: Wirkung auf Hospitalisierungen</w:t>
      </w:r>
    </w:p>
    <w:p>
      <w:r>
        <w:rPr>
          <w:i/>
          <w:color w:val="666666"/>
          <w:sz w:val="18"/>
        </w:rPr>
        <w:t>Grosser J et al.  ·  JMIR Aging  ·  19.08.2026  ·  PMID 42616612</w:t>
      </w:r>
    </w:p>
    <w:p>
      <w:r>
        <w:t>Clusterzufallstudie in 24 Pflegeheimen (westliches Deutschland) zu einer intersektoral organisierten Telemedizin mit Frühwarnsystem und mobilen medizinischen Laien bei akuten Versorgungsfällen in der vollstationären Altenpflege.</w:t>
      </w:r>
    </w:p>
    <w:p>
      <w:r>
        <w:rPr>
          <w:b/>
        </w:rPr>
        <w:t xml:space="preserve">Ergebnis: </w:t>
      </w:r>
      <w:r>
        <w:t>2.394 Studienpersonen über 8 Perioden. Knapp zwei Drittel aller ausgetesteten Modellspezifikationen zeigten einen schützenden (negativen) Effekt auf Hospitalisierungen, aber kein Modell erreichte statistische Signifikanz (p&lt;0,05). Externe Faktoren (Flutkatastrophe, COVID-19) wurden als Einflussfaktoren genannt.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vergleichbares Sozialversicherungssystem, Implementierungskontext der Routine</w:t>
      </w:r>
    </w:p>
    <w:p>
      <w:r>
        <w:rPr>
          <w:color w:val="5A7D3A"/>
          <w:sz w:val="18"/>
        </w:rPr>
        <w:t>https://pubmed.ncbi.nlm.nih.gov/42616612/</w:t>
      </w:r>
    </w:p>
    <w:p>
      <w:pPr>
        <w:pStyle w:val="Heading2"/>
      </w:pPr>
      <w:r>
        <w:t>Datengestützte Entscheidungsunterstützung für chirurgische Rekonstruktion bei Mundhöhlenkrebs</w:t>
      </w:r>
    </w:p>
    <w:p>
      <w:r>
        <w:rPr>
          <w:i/>
          <w:color w:val="666666"/>
          <w:sz w:val="18"/>
        </w:rPr>
        <w:t>Kupka JR et al.  ·  Clin Oral Investig  ·  19.08.2026  ·  PMID 42616132</w:t>
      </w:r>
    </w:p>
    <w:p>
      <w:r>
        <w:t>Klassifikationsbaum-Analyse an 88 Patienten mit Plattenepithelkarzinom zur Identifikation von objektiven Schwellwerten zwischen lokaler/regionaler und mikrovaskulärer Rekonstruktion unter Berücksichtigung klinischer und ökonomischer Parameter.</w:t>
      </w:r>
    </w:p>
    <w:p>
      <w:r>
        <w:rPr>
          <w:b/>
        </w:rPr>
        <w:t xml:space="preserve">Ergebnis: </w:t>
      </w:r>
      <w:r>
        <w:t>Tumor-Lokalisation, Durchmesser und Resektionstyp als entscheidende Prädiktoren. Lokale Rekonstruktion zeigte signifikant niedrigere perioperative Morbidität (geringere Raten für Tracheotomie und PEG-Sonde, kürzere ICU/Krankenhausaufenthalte). Regional-Verfahren ökonomisch überlegen; mikrovaskuläre Eingriffe brauchten deutlich längere OP-Zeiten. Lappenüberlebensrate: 96,7%.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Struktur und DRG-Kodierung</w:t>
      </w:r>
    </w:p>
    <w:p>
      <w:r>
        <w:rPr>
          <w:color w:val="5A7D3A"/>
          <w:sz w:val="18"/>
        </w:rPr>
        <w:t>https://pubmed.ncbi.nlm.nih.gov/42616132/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