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Digitalisierung, KI und Gesundheit</w:t>
      </w:r>
    </w:p>
    <w:p>
      <w:r>
        <w:rPr>
          <w:i/>
          <w:color w:val="666666"/>
          <w:sz w:val="18"/>
        </w:rPr>
        <w:t>Stand: 20.08.2026  |  17 Studien  |  ki.m-vf.de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Klinische Entscheidungsunterstützung für Brustmultidisziplinäre Team-Meetings: validierte KI reduziert Behandlungsvariabilität</w:t>
      </w:r>
    </w:p>
    <w:p>
      <w:r>
        <w:rPr>
          <w:i/>
          <w:color w:val="666666"/>
          <w:sz w:val="18"/>
        </w:rPr>
        <w:t>Jeffery H et al.  ·  BMJ Health Care Inform  ·  19.08.2026  ·  PMID 42618288</w:t>
      </w:r>
    </w:p>
    <w:p>
      <w:r>
        <w:t>Qualitätsverbesserungsprojekt zur Validierung einer KI-gestützten Entscheidungsunterstützung (Deontics CDS) für Brust-MDT-Meetings basierend auf internationale Leitlinien an Brust-Chirurgiezentrum (London).</w:t>
      </w:r>
    </w:p>
    <w:p>
      <w:r>
        <w:rPr>
          <w:b/>
        </w:rPr>
        <w:t xml:space="preserve">Ergebnis: </w:t>
      </w:r>
      <w:r>
        <w:t>250 Patientinnen (100 benigne, 150 maligne) schrittweise hinzugefügt. Konkordanz zwischen MDT-Entscheidung und Standard-of-Care-Empfehlung verbesserte sich von 82% auf 100% (benigne) und von 94% auf 100% (maligne). Abschließend 100% Konkordanz für beide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Universitätsklinikum, internationale Guidelines, Strukturtransfer auf Deutschland möglich</w:t>
      </w:r>
    </w:p>
    <w:p>
      <w:r>
        <w:rPr>
          <w:color w:val="5A7D3A"/>
          <w:sz w:val="18"/>
        </w:rPr>
        <w:t>https://pubmed.ncbi.nlm.nih.gov/42618288/</w:t>
      </w:r>
    </w:p>
    <w:p>
      <w:pPr>
        <w:pStyle w:val="Heading2"/>
      </w:pPr>
      <w:r>
        <w:t>Telemedizinische Intervention mit Frühwarnsystem in Pflegeheimen: Wirkung auf Hospitalisierungen</w:t>
      </w:r>
    </w:p>
    <w:p>
      <w:r>
        <w:rPr>
          <w:i/>
          <w:color w:val="666666"/>
          <w:sz w:val="18"/>
        </w:rPr>
        <w:t>Grosser J et al.  ·  JMIR Aging  ·  19.08.2026  ·  PMID 42616612</w:t>
      </w:r>
    </w:p>
    <w:p>
      <w:r>
        <w:t>Clusterzufallstudie in 24 Pflegeheimen (westliches Deutschland) zu einer intersektoral organisierten Telemedizin mit Frühwarnsystem und mobilen medizinischen Laien bei akuten Versorgungsfällen in der vollstationären Altenpflege.</w:t>
      </w:r>
    </w:p>
    <w:p>
      <w:r>
        <w:rPr>
          <w:b/>
        </w:rPr>
        <w:t xml:space="preserve">Ergebnis: </w:t>
      </w:r>
      <w:r>
        <w:t>2.394 Studienpersonen über 8 Perioden. Knapp zwei Drittel aller ausgetesteten Modellspezifikationen zeigten einen schützenden (negativen) Effekt auf Hospitalisierungen, aber kein Modell erreichte statistische Signifikanz (p&lt;0,05). Externe Faktoren (Flutkatastrophe, COVID-19) wurden als Einflussfaktoren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Sozialversicherungssystem, Implementierungskontext der Routine</w:t>
      </w:r>
    </w:p>
    <w:p>
      <w:r>
        <w:rPr>
          <w:color w:val="5A7D3A"/>
          <w:sz w:val="18"/>
        </w:rPr>
        <w:t>https://pubmed.ncbi.nlm.nih.gov/42616612/</w:t>
      </w:r>
    </w:p>
    <w:p>
      <w:pPr>
        <w:pStyle w:val="Heading2"/>
      </w:pPr>
      <w:r>
        <w:t>Datengestützte Entscheidungsunterstützung für chirurgische Rekonstruktion bei Mundhöhlenkrebs</w:t>
      </w:r>
    </w:p>
    <w:p>
      <w:r>
        <w:rPr>
          <w:i/>
          <w:color w:val="666666"/>
          <w:sz w:val="18"/>
        </w:rPr>
        <w:t>Kupka JR et al.  ·  Clin Oral Investig  ·  19.08.2026  ·  PMID 42616132</w:t>
      </w:r>
    </w:p>
    <w:p>
      <w:r>
        <w:t>Klassifikationsbaum-Analyse an 88 Patienten mit Plattenepithelkarzinom zur Identifikation von objektiven Schwellwerten zwischen lokaler/regionaler und mikrovaskulärer Rekonstruktion unter Berücksichtigung klinischer und ökonomischer Parameter.</w:t>
      </w:r>
    </w:p>
    <w:p>
      <w:r>
        <w:rPr>
          <w:b/>
        </w:rPr>
        <w:t xml:space="preserve">Ergebnis: </w:t>
      </w:r>
      <w:r>
        <w:t>Tumor-Lokalisation, Durchmesser und Resektionstyp als entscheidende Prädiktoren. Lokale Rekonstruktion zeigte signifikant niedrigere perioperative Morbidität (geringere Raten für Tracheotomie und PEG-Sonde, kürzere ICU/Krankenhausaufenthalte). Regional-Verfahren ökonomisch überlegen; mikrovaskuläre Eingriffe brauchten deutlich längere OP-Zeiten. Lappenüberlebensrate: 96,7%.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Struktur und DRG-Kodierung</w:t>
      </w:r>
    </w:p>
    <w:p>
      <w:r>
        <w:rPr>
          <w:color w:val="5A7D3A"/>
          <w:sz w:val="18"/>
        </w:rPr>
        <w:t>https://pubmed.ncbi.nlm.nih.gov/42616132/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KI-gestützte Selbstmanagement-App für Arbeitsfähigkeit nach Muskelskelettverletzungen: SmaRTWork-RCT in Norwegen</w:t>
      </w:r>
    </w:p>
    <w:p>
      <w:r>
        <w:rPr>
          <w:i/>
          <w:color w:val="666666"/>
          <w:sz w:val="18"/>
        </w:rPr>
        <w:t>Aasdahl L et al.  ·  BMJ Open  ·  18.08.2026  ·  PMID 42613108</w:t>
      </w:r>
    </w:p>
    <w:p>
      <w:r>
        <w:t>Randomisierte kontrollierte Studie zur Wirksamkeit einer individualisierten, KI-basierten App zur Unterstützung der Rückkehr in den Beruf bei Patienten mit Muskelskelettstörungen, durchgeführt in Norwegen mit 298 Teilnehmern über 12 Monate.</w:t>
      </w:r>
    </w:p>
    <w:p>
      <w:r>
        <w:rPr>
          <w:b/>
        </w:rPr>
        <w:t xml:space="preserve">Ergebnis: </w:t>
      </w:r>
      <w:r>
        <w:t>Primäres Outcome: Zeitraum bis zu einer nachhaltigen Rückkehr zur Arbeit (mindestens ein Monat ohne Krankmeldung) wird über Registry-Daten gemessen; sekundäre Outcomes erfassen Gesundheitsmaße nach 3, 6 und 12 Monaten. Die Studie ist noch nicht abgeschlossen (Protokoll); Ergebnisse stehen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Norwegisches Gesundheitssystem, vergleichbare Sozialversicherung mit Deutschland.</w:t>
      </w:r>
    </w:p>
    <w:p>
      <w:r>
        <w:rPr>
          <w:color w:val="5A7D3A"/>
          <w:sz w:val="18"/>
        </w:rPr>
        <w:t>https://pubmed.ncbi.nlm.nih.gov/42613108/</w:t>
      </w:r>
    </w:p>
    <w:p>
      <w:pPr>
        <w:pStyle w:val="Heading2"/>
      </w:pPr>
      <w:r>
        <w:t>Telemedizinische Fernüberwachung in kritischen Anästhesie-Szenarien: Simulationsstudie mit Standards-konformem System</w:t>
      </w:r>
    </w:p>
    <w:p>
      <w:r>
        <w:rPr>
          <w:i/>
          <w:color w:val="666666"/>
          <w:sz w:val="18"/>
        </w:rPr>
        <w:t>Roth J et al.  ·  JMIR Med Inform  ·  18.08.2026  ·  PMID 42612211</w:t>
      </w:r>
    </w:p>
    <w:p>
      <w:r>
        <w:t>Randomisierte Simulationsstudie mit 16 Anästhesie-Assistenzärten, die ein standardisiertes Telemedizin-Überwachungssystem (TSV) mit konventioneller Telefonunterstützung während Notfallszenarien vergleicht.</w:t>
      </w:r>
    </w:p>
    <w:p>
      <w:r>
        <w:rPr>
          <w:b/>
        </w:rPr>
        <w:t xml:space="preserve">Ergebnis: </w:t>
      </w:r>
      <w:r>
        <w:t>SOP-Vollständigung Interventionsgruppe 91,6 % (SD 0,05), Kontrollgruppe 92,5 % (SD 0,04), kein signifikanter Unterschied (P=0,67). Mentale Belastung niedriger mit TSV, aber höhere zeitliche Anforderungen; Nutzer bewerteten TSV als praktikable Alternative.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(RWTH Aachen), direkt übertragbar auf deutsche Operationssäle und Dokumentationspflichten.</w:t>
      </w:r>
    </w:p>
    <w:p>
      <w:r>
        <w:rPr>
          <w:color w:val="5A7D3A"/>
          <w:sz w:val="18"/>
        </w:rPr>
        <w:t>https://pubmed.ncbi.nlm.nih.gov/42612211/</w:t>
      </w:r>
    </w:p>
    <w:p>
      <w:pPr>
        <w:pStyle w:val="Heading2"/>
      </w:pPr>
      <w:r>
        <w:t>Gemischte Reminder-Strategien zur Steigerung der E-Cohort-Teilnahme: randomisierte Kontrollstudie</w:t>
      </w:r>
    </w:p>
    <w:p>
      <w:r>
        <w:rPr>
          <w:i/>
          <w:color w:val="666666"/>
          <w:sz w:val="18"/>
        </w:rPr>
        <w:t>Soyer J et al.  ·  J Med Internet Res  ·  18.08.2026  ·  PMID 42611049</w:t>
      </w:r>
    </w:p>
    <w:p>
      <w:r>
        <w:t>Randomisierte Kontrollstudie mit 20.487 Teilnehmern, die E-Mail-, SMS- und kombinierte Reminder-Strategien zur Verbesserung der Rekrutierung in einer großen französischen Online-Kohorte (Le French Gut) vergleicht.</w:t>
      </w:r>
    </w:p>
    <w:p>
      <w:r>
        <w:rPr>
          <w:b/>
        </w:rPr>
        <w:t xml:space="preserve">Ergebnis: </w:t>
      </w:r>
      <w:r>
        <w:t>Kombinierte Strategie (E-Mail + SMS + institutionelle E-Mail) erhöhte die Abschlussquote um 27 % (9,4 % vs. 7,4–8,3 %; P&lt;0,001). SMS führte zu schnelleren Antworten (mittlerer Abstand 6,3 Tage vs. 7,0–7,2 Tage), institutionelle E-Mails zeigten höhere Klickrate (23,1 % vs. 19,6 %;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Digitalisierungsstandards und Forschungsinfrastruktur in Kontinentaleuropa.</w:t>
      </w:r>
    </w:p>
    <w:p>
      <w:r>
        <w:rPr>
          <w:color w:val="5A7D3A"/>
          <w:sz w:val="18"/>
        </w:rPr>
        <w:t>https://pubmed.ncbi.nlm.nih.gov/42611049/</w:t>
      </w:r>
    </w:p>
    <w:p>
      <w:pPr>
        <w:pStyle w:val="Heading2"/>
      </w:pPr>
      <w:r>
        <w:t>CE-gekennzeichneter Large-Language-Model-Chatbot für evidenzbasierte Neurologie: Funktionalitätsprüfung</w:t>
      </w:r>
    </w:p>
    <w:p>
      <w:r>
        <w:rPr>
          <w:i/>
          <w:color w:val="666666"/>
          <w:sz w:val="18"/>
        </w:rPr>
        <w:t>Kirschner P et al.  ·  Eur J Neurol  ·  Aug. 2026  ·  PMID 42610794</w:t>
      </w:r>
    </w:p>
    <w:p>
      <w:r>
        <w:t>Evaluierung von Prof. Valmed, dem ersten CE-gekennzeichneten LLM-Tool für medizinische Informationsbeschaffung in Europa, an einem 130-Item-Benchmark basierend auf Richtlinien der American Academy of Neurology.</w:t>
      </w:r>
    </w:p>
    <w:p>
      <w:r>
        <w:rPr>
          <w:b/>
        </w:rPr>
        <w:t xml:space="preserve">Ergebnis: </w:t>
      </w:r>
      <w:r>
        <w:t>Prof. Valmed erreichte 76,2 % korrekte Antworten, 14,6 % ungenau, 6,9 % falsch, 2,3 % verweigert. Performance vergleichbar mit handelsüblichen LLM-Tools, signifikant besser als 8 Modelle, aber schlechter als ein reasoning-fähiges System mit Whitelisting von Neurologie-Quellen. CE-Kennzeichnung garantiert eher regulatorische Konformität als Leistungsvorteil.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(CE-Kennzeichnung europäisch gültig), aber regulatorischer Rahmen unterscheidet sich von FDA; klinischer Nutzen unabhängig vom Zulassungsstatus.</w:t>
      </w:r>
    </w:p>
    <w:p>
      <w:r>
        <w:rPr>
          <w:color w:val="5A7D3A"/>
          <w:sz w:val="18"/>
        </w:rPr>
        <w:t>https://pubmed.ncbi.nlm.nih.gov/42610794/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Large Language Models für deutsche Leitlinienempfehlungen: Retrieval-Augmented Generation mit Benchmark-Evaluierung</w:t>
      </w:r>
    </w:p>
    <w:p>
      <w:r>
        <w:rPr>
          <w:i/>
          <w:color w:val="666666"/>
          <w:sz w:val="18"/>
        </w:rPr>
        <w:t>Schwietering J et al.  ·  BMJ Health Care Inform  ·  11.08.2026  ·  PMID 42580812</w:t>
      </w:r>
    </w:p>
    <w:p>
      <w:r>
        <w:t>Entwicklung und Validierung des cpgQA-DE-Benchmarks mit 200 Fragen aus 10 deutschen Fachleitlinien; Evaluierung von LLMs mit Retrieval-Augmented Generation.</w:t>
      </w:r>
    </w:p>
    <w:p>
      <w:r>
        <w:rPr>
          <w:b/>
        </w:rPr>
        <w:t xml:space="preserve">Ergebnis: </w:t>
      </w:r>
      <w:r>
        <w:t>Best-Performing-Kombination (GPT-5 + multilingual-e5-large) erreichte 95% Genauigkeit; Open-Weight-Modell gpt-oss-120b mit RAG erzielte 90% Genauigkeit. RAG verbesserte Leistung über alle Modelle hinweg deutlich.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Leitlinien und Kontext; direkt auf hiesige CDSS-Anforderungen übertragbar.</w:t>
      </w:r>
    </w:p>
    <w:p>
      <w:r>
        <w:rPr>
          <w:color w:val="5A7D3A"/>
          <w:sz w:val="18"/>
        </w:rPr>
        <w:t>https://pubmed.ncbi.nlm.nih.gov/42580812/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