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21.10.2026  |  6 Studien  |  ki.m-vf.de</w:t>
      </w:r>
    </w:p>
    <w:p>
      <w:pPr>
        <w:pStyle w:val="Heading1"/>
      </w:pPr>
      <w:r>
        <w:t>Aufgenommen am 21.10.2026</w:t>
      </w:r>
    </w:p>
    <w:p>
      <w:pPr>
        <w:pStyle w:val="Heading2"/>
      </w:pPr>
      <w:r>
        <w:t>Patientenbeteiligung an EHR-Dokumentation: Kommentarfunktion verbessert Genauigkeit</w:t>
      </w:r>
    </w:p>
    <w:p>
      <w:r>
        <w:rPr>
          <w:i/>
          <w:color w:val="666666"/>
          <w:sz w:val="18"/>
        </w:rPr>
        <w:t>Hagström J et al.  ·  J Med Internet Res  ·  20.10.2026  ·  PMID 42901489</w:t>
      </w:r>
    </w:p>
    <w:p>
      <w:r>
        <w:t>Schwedische Studie zur Nutzung einer Kommentarfunktion in der Elektronischen Patientenakte durch Patienten – untersucht, wie Patienten klinische Notizen kommentieren und welche Potenziale dies für die Dokumentationsqualität hat.</w:t>
      </w:r>
    </w:p>
    <w:p>
      <w:r>
        <w:rPr>
          <w:b/>
        </w:rPr>
        <w:t xml:space="preserve">Ergebnis: </w:t>
      </w:r>
      <w:r>
        <w:t>Von 1.670 Kommentaren waren 99,1% inhaltlich relevant; 57,3% bezogen sich auf Inhalte jenseits der Notiz selbst; 55,6% hatten neutralen, 42,4% negativen Ton. Patienten mit psychiatrischen Einträgen hinterließen deutlich mehr Kommentare (Median 7 vs. 2; p&lt;0,001) mit höherer Negativrate (63,2% vs. 33,5%). Die Funktion birgt sowohl Chancen für Genauigkeit als auch Risiken, die durch absichtliches Design mitigiert werden müssen.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nationale EHR mit längerer Nutzungshistorie; Designprinzipien übertragbar auf deutsche EPA</w:t>
      </w:r>
    </w:p>
    <w:p>
      <w:r>
        <w:rPr>
          <w:color w:val="5A7D3A"/>
          <w:sz w:val="18"/>
        </w:rPr>
        <w:t>https://pubmed.ncbi.nlm.nih.gov/42901489/</w:t>
      </w:r>
    </w:p>
    <w:p>
      <w:pPr>
        <w:pStyle w:val="Heading2"/>
      </w:pPr>
      <w:r>
        <w:t>Workarounds bei der Einführung von integrierten Gesundheitsakten: Wie Nutzer Systeme anpassen</w:t>
      </w:r>
    </w:p>
    <w:p>
      <w:r>
        <w:rPr>
          <w:i/>
          <w:color w:val="666666"/>
          <w:sz w:val="18"/>
        </w:rPr>
        <w:t>Sai V et al.  ·  JMIR Med Inform  ·  20.10.2026  ·  PMID 42901487</w:t>
      </w:r>
    </w:p>
    <w:p>
      <w:r>
        <w:t>Qualitative Studie über 13 Jahre Evolution eines Informationssystems (Key Information Summary) in Schottland – untersucht, wie formale und informelle Nutzer-Workarounds die Adoption und lokale Anpassung eines Systems zur Informationsfreigabe zwischen Gesundheits- und Sozialdiensten prägen.</w:t>
      </w:r>
    </w:p>
    <w:p>
      <w:r>
        <w:rPr>
          <w:b/>
        </w:rPr>
        <w:t xml:space="preserve">Ergebnis: </w:t>
      </w:r>
      <w:r>
        <w:t>Analyse von 54 Interviews, 59 Dokumenten und 20 Stunden Beobachtung zeigt: Adoption variierte je Setting und Zeit durch Misalignment zwischen Systemdesign, erwarteten integrierten Versorgungszielen und COVID-19-Initiativen. Formale Workarounds erweiterten die Infrastruktur in nonclinische Settings; informelle Nutzer-Reparaturpraktiken ermöglichten flexible Anpassung. Professionelle Rollen und Informationsbedarf erzeugten Spannungen zwischen Nutzern und Systemeigentümern.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Großbritannien/Schottland, vergleichbarer Versorgungsauftrag; Lessons zu Workarounds relevant für deutsche Digitalisierungsprojekte</w:t>
      </w:r>
    </w:p>
    <w:p>
      <w:r>
        <w:rPr>
          <w:color w:val="5A7D3A"/>
          <w:sz w:val="18"/>
        </w:rPr>
        <w:t>https://pubmed.ncbi.nlm.nih.gov/42901487/</w:t>
      </w:r>
    </w:p>
    <w:p>
      <w:pPr>
        <w:pStyle w:val="Heading2"/>
      </w:pPr>
      <w:r>
        <w:t>Machine Learning zur Vorhersage von Blutstrominfektionen bei Chemotherapiepatienten</w:t>
      </w:r>
    </w:p>
    <w:p>
      <w:r>
        <w:rPr>
          <w:i/>
          <w:color w:val="666666"/>
          <w:sz w:val="18"/>
        </w:rPr>
        <w:t>Villani Junior A et al.  ·  Support Care Cancer  ·  20.10.2026  ·  PMID 42900238</w:t>
      </w:r>
    </w:p>
    <w:p>
      <w:r>
        <w:t>Retrospektive Studie an 1.220 Krebspatienten mit 1.435 bestätigten Blutstrominfektionen (2017–2022) – nutzt Multi-Label-Klassifikation mit Machine Learning, um Risikofaktoren für verschiedene Resistenzphänotypen zu identifizieren und Entscheidungshilfen für empirische Therapie zu verbessern.</w:t>
      </w:r>
    </w:p>
    <w:p>
      <w:r>
        <w:rPr>
          <w:b/>
        </w:rPr>
        <w:t xml:space="preserve">Ergebnis: </w:t>
      </w:r>
      <w:r>
        <w:t>83,1% der Infektionen waren Non-MDRO oder pilzlich; 7,6% carbapenem-resistent. Beste Modellperformance für carbapenem-resistente Gram-negative Erreger (AUC-ROC 83,25%). Schlüsselprädiktor: Hospitalisierungstage, hämatologische Malignität, frühere MDRO-Infektion, Monozytopenie, palliative Chemotherapie. Chemotherapieklasse trug differenziell bei (z.B. Alkylanzien→Candidämie). Multi-Label-Ansatz half, komplexe Ätiologien zu differenzieren.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spezialisiertes Krebszentrum; Methodik auf europäische Zentren übertragbar, aber institutsspezifische Epidemiologie beachten</w:t>
      </w:r>
    </w:p>
    <w:p>
      <w:r>
        <w:rPr>
          <w:color w:val="5A7D3A"/>
          <w:sz w:val="18"/>
        </w:rPr>
        <w:t>https://pubmed.ncbi.nlm.nih.gov/42900238/</w:t>
      </w:r>
    </w:p>
    <w:p>
      <w:pPr>
        <w:pStyle w:val="Heading2"/>
      </w:pPr>
      <w:r>
        <w:t>KI-gestützte Diabetische-Retinopathie-Screening: Von Algorithmen zu Versorgungseffekt und Equity</w:t>
      </w:r>
    </w:p>
    <w:p>
      <w:r>
        <w:rPr>
          <w:i/>
          <w:color w:val="666666"/>
          <w:sz w:val="18"/>
        </w:rPr>
        <w:t>Chen J et al.  ·  Front Public Health  ·  05.10.2026  ·  PMID 42898801</w:t>
      </w:r>
    </w:p>
    <w:p>
      <w:r>
        <w:t>Review zur Implementierung von KI-Screening für diabetische Retinopathie in der Versorgung – reframed die Frage von Algorithmusgenauigkeit auf die gesamte Kette Screening→Behandlung, mit Fokus auf Gleichberechtigung und Population Health Impact.</w:t>
      </w:r>
    </w:p>
    <w:p>
      <w:r>
        <w:rPr>
          <w:b/>
        </w:rPr>
        <w:t xml:space="preserve">Ergebnis: </w:t>
      </w:r>
      <w:r>
        <w:t>Diagnostische Genauigkeit allein garantiert keinen Gesundheitsnutzen. Vier-Domänen-Rahmen identifiziert: technische Validität, Serviceintegration, Populationseffekt und Equity/Nachhaltigkeit. Wichtige Faktoren: Erreichung der Zielgruppe, Bildqualität, Überweisungsabschluss, Behandlungskapazität, finanzielle/geografische Barrieren. Zukünftige Forschung sollte Vergleichsstudien zu Implementation und Equity-Outcomes priorisieren.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China-basiert, aber Framework und Prinzipien universell; für Deutschland relevant zur Gesundheitspolitik der KI-Implementierung</w:t>
      </w:r>
    </w:p>
    <w:p>
      <w:r>
        <w:rPr>
          <w:color w:val="5A7D3A"/>
          <w:sz w:val="18"/>
        </w:rPr>
        <w:t>https://pubmed.ncbi.nlm.nih.gov/42898801/</w:t>
      </w:r>
    </w:p>
    <w:p>
      <w:pPr>
        <w:pStyle w:val="Heading2"/>
      </w:pPr>
      <w:r>
        <w:t>KI-Nutzung durch Kliniker in USA und UK: Lücke zwischen Bewusstsein und klinischer Praxis</w:t>
      </w:r>
    </w:p>
    <w:p>
      <w:r>
        <w:rPr>
          <w:i/>
          <w:color w:val="666666"/>
          <w:sz w:val="18"/>
        </w:rPr>
        <w:t>Sezgin E et al.  ·  JMIR Form Res  ·  19.10.2026  ·  PMID 42896135</w:t>
      </w:r>
    </w:p>
    <w:p>
      <w:r>
        <w:t>Querschnittsstudie mit 524 Fachkräften aus USA und UK zur aktuellen KI-Anwendung, Zugänglichkeit, Hürden und Adoptionsfaktoren in der Versorgung – untersucht, wie national und beruflich unterschiedlich KI-Tools genutzt werden.</w:t>
      </w:r>
    </w:p>
    <w:p>
      <w:r>
        <w:rPr>
          <w:b/>
        </w:rPr>
        <w:t xml:space="preserve">Ergebnis: </w:t>
      </w:r>
      <w:r>
        <w:t>KI-Nutzung war weit verbreitet, variierte aber stark je Fachgruppe und Land. Zentral für Adoption: belastbare Evidenz, organisatorische Unterstützung, Schulung, Datenschutz und klinische Workflow-Integration. Studie identifiziert Schlüsselhürden für verantwortungsvolle Implementierung.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und Großbritannien; Erkenntnisse zu Adoptionsbarrieren strukturell und regulatorisch teilweise übertragbar, aber digitaler Reifegrad unterschiedlich</w:t>
      </w:r>
    </w:p>
    <w:p>
      <w:r>
        <w:rPr>
          <w:color w:val="5A7D3A"/>
          <w:sz w:val="18"/>
        </w:rPr>
        <w:t>https://pubmed.ncbi.nlm.nih.gov/42896135/</w:t>
      </w:r>
    </w:p>
    <w:p>
      <w:pPr>
        <w:pStyle w:val="Heading2"/>
      </w:pPr>
      <w:r>
        <w:t>KI-gestützte Remote-Überwachung bei Herzinsuffizienz: von Druckmessung zur adaptiven Versorgung</w:t>
      </w:r>
    </w:p>
    <w:p>
      <w:r>
        <w:rPr>
          <w:i/>
          <w:color w:val="666666"/>
          <w:sz w:val="18"/>
        </w:rPr>
        <w:t>Angermann CE et al.  ·  Curr Heart Fail Rep  ·  19.10.2026  ·  PMID 42895671</w:t>
      </w:r>
    </w:p>
    <w:p>
      <w:r>
        <w:t>Review zu Möglichkeiten, KI zur Personalisierung von Remote-Patient-Management bei Herzinsuffizienz einzusetzen – untersucht, wie implantierte Drucksensoren mit KI-gestützter Risikoschichtung und individualisierten Monitoring-Plänen Outcomes verbessern könnten.</w:t>
      </w:r>
    </w:p>
    <w:p>
      <w:r>
        <w:rPr>
          <w:b/>
        </w:rPr>
        <w:t xml:space="preserve">Ergebnis: </w:t>
      </w:r>
      <w:r>
        <w:t>Randomisierte Studien (CHAMPION, GUIDE-HF, MONITOR-HF) zeigen: Druckgesteuertes Management reduziert Hospitalisierungen signifikant, aber erhebliches Residualrisiko bleibt. KI könnte multidimensionale Phänotypisierung für Pre-Implant-Selektion, personalisierte klinische Entscheidungshilfe und dynamische Anpassung der Monitoring-Intensität ermöglichen – mit Potenzial für bessere Outcomes, weniger Aufwand, höhere Kosteneffektivität.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Niederlande (Autoren), kardiale Versorgungsstruktur vergleichbar; praktische Implementierbarkeit abhängig von Infrastruktur</w:t>
      </w:r>
    </w:p>
    <w:p>
      <w:r>
        <w:rPr>
          <w:color w:val="5A7D3A"/>
          <w:sz w:val="18"/>
        </w:rPr>
        <w:t>https://pubmed.ncbi.nlm.nih.gov/42895671/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2026-10-21T06:00:00Z</dcterms:created>
  <dcterms:modified xsi:type="dcterms:W3CDTF">2026-10-21T06:00:00Z</dcterms:modified>
  <cp:category/>
</cp:coreProperties>
</file>