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04.09.2026  |  92 Studien  |  ki.m-vf.de</w:t>
      </w:r>
    </w:p>
    <w:p>
      <w:pPr>
        <w:pStyle w:val="Heading1"/>
      </w:pPr>
      <w:r>
        <w:t>Aufgenommen am 04.09.2026</w:t>
      </w:r>
    </w:p>
    <w:p>
      <w:pPr>
        <w:pStyle w:val="Heading2"/>
      </w:pPr>
      <w:r>
        <w:t>LLM-generierte Zusammenfassungen für Brustchirurgie-Konsultationen: Validierungsstudie</w:t>
      </w:r>
    </w:p>
    <w:p>
      <w:r>
        <w:rPr>
          <w:i/>
          <w:color w:val="666666"/>
          <w:sz w:val="18"/>
        </w:rPr>
        <w:t>Moo TA et al.  ·  JCO Clin Cancer Inform  ·  03.09.2026  ·  PMID 42691437</w:t>
      </w:r>
    </w:p>
    <w:p>
      <w:r>
        <w:t>Retroaktive Validierung von mittels Retrieval-augmented LLM erstellten strukturierten Vorkonsult-Zusammenfassungen gegen klinische Routine-Dokumentation; Feld- und Patient-level Genauigkeit sowie Fabrikation gemessen.</w:t>
      </w:r>
    </w:p>
    <w:p>
      <w:r>
        <w:rPr>
          <w:b/>
        </w:rPr>
        <w:t xml:space="preserve">Ergebnis: </w:t>
      </w:r>
      <w:r>
        <w:t>AI-Summaries zeigten hohe Feld-Genauigkeit mit Fabrikationsraten ≤2%. Höher als Personal-Summaries bei Lymphknoten-Status (95% vs 72%, p&lt;0,001) und invasivem Tumor-Component (94% vs 30%, p&lt;0,001); niedriger bei Rezeptor-Status (86% vs 96%, p=0,002). Patient-level Fabrikation in 16 AI-Summaries (8%), davon 6 klinisch signifikant (3%); Staff 6 (3%, 1 klinisch signifikant). Mit Safeguards als Effizienz-Instrument vielversprechend.</w:t>
      </w:r>
    </w:p>
    <w:p>
      <w:r>
        <w:rPr>
          <w:b/>
          <w:sz w:val="19"/>
        </w:rPr>
        <w:t xml:space="preserve">Übertragbarkeit: </w:t>
      </w:r>
      <w:r>
        <w:rPr>
          <w:sz w:val="19"/>
        </w:rPr>
        <w:t>USA-Einzelinstitution, aber Aufwandseinsparung und Fehler-Profile zu Verifikation auf deutsche Dokumentation übertragbar</w:t>
      </w:r>
    </w:p>
    <w:p>
      <w:r>
        <w:rPr>
          <w:color w:val="5A7D3A"/>
          <w:sz w:val="18"/>
        </w:rPr>
        <w:t>https://pubmed.ncbi.nlm.nih.gov/42691437/</w:t>
      </w:r>
    </w:p>
    <w:p>
      <w:pPr>
        <w:pStyle w:val="Heading2"/>
      </w:pPr>
      <w:r>
        <w:t>KI-Entscheidungsunterstützung beim Gebärmutterhalskrebs-Screening in Ressourcen-armen Ländern</w:t>
      </w:r>
    </w:p>
    <w:p>
      <w:r>
        <w:rPr>
          <w:i/>
          <w:color w:val="666666"/>
          <w:sz w:val="18"/>
        </w:rPr>
        <w:t>Koot J et al.  ·  JMIR Form Res  ·  03.09.2026  ·  PMID 42691425</w:t>
      </w:r>
    </w:p>
    <w:p>
      <w:r>
        <w:t>Implementierungsstudie einer KI-DSS (Visual Inspection with Acetic Acid) in Bangladesch und Uganda; Analyse von Barrieren und Förderfaktoren unter Feldbedingungen mittels strukturiertes Framework.</w:t>
      </w:r>
    </w:p>
    <w:p>
      <w:r>
        <w:rPr>
          <w:b/>
        </w:rPr>
        <w:t xml:space="preserve">Ergebnis: </w:t>
      </w:r>
      <w:r>
        <w:t>KI-Gerät bestand Labortests, zeigte aber schwächere Performance unter Feldbedingungen. Hardware (adaptiertes Mobiltelefon) angemessen, Benutzeroberfläche intuitiv. Bedienung während Untersuchung herausfordernd. Ohne medizinische Registrierung nur zu Forschungszwecken verwendet. Akzeptanz durch Frauen hoch (mit Datenschutz-Garantie), aber größeres Vertrauen in Gesundheitspersonal. Kompetentes Training in Bildqualität essentiell; Fernunterstützung half, Performance zu verbessern.</w:t>
      </w:r>
    </w:p>
    <w:p>
      <w:r>
        <w:rPr>
          <w:b/>
          <w:sz w:val="19"/>
        </w:rPr>
        <w:t xml:space="preserve">Übertragbarkeit: </w:t>
      </w:r>
      <w:r>
        <w:rPr>
          <w:sz w:val="19"/>
        </w:rPr>
        <w:t>Südasia/Ostafrika, aber qualitative Barriere-Analyse auf strukturelle Hemmnisse übertragbar</w:t>
      </w:r>
    </w:p>
    <w:p>
      <w:r>
        <w:rPr>
          <w:color w:val="5A7D3A"/>
          <w:sz w:val="18"/>
        </w:rPr>
        <w:t>https://pubmed.ncbi.nlm.nih.gov/42691425/</w:t>
      </w:r>
    </w:p>
    <w:p>
      <w:pPr>
        <w:pStyle w:val="Heading2"/>
      </w:pPr>
      <w:r>
        <w:t>Digitale Therapie für Temporomandibular-Störungen: Verhaltensänderung als Wirkmedium</w:t>
      </w:r>
    </w:p>
    <w:p>
      <w:r>
        <w:rPr>
          <w:i/>
          <w:color w:val="666666"/>
          <w:sz w:val="18"/>
        </w:rPr>
        <w:t>Byun SH et al.  ·  JMIR Mhealth Uhealth  ·  03.09.2026  ·  PMID 42691400</w:t>
      </w:r>
    </w:p>
    <w:p>
      <w:r>
        <w:t>Post-hoc-Sekundäranalyse einer multizentrisch randomisierten Studie (n=93) zum Wirkmedium digitaler Therapeutika; Mediation über Verhaltensänderung untersucht mittels strukturierter klinischer Daten und Kausalmodellierung.</w:t>
      </w:r>
    </w:p>
    <w:p>
      <w:r>
        <w:rPr>
          <w:b/>
        </w:rPr>
        <w:t xml:space="preserve">Ergebnis: </w:t>
      </w:r>
      <w:r>
        <w:t>DTx-Gruppe erzielte konsistent höhere Schmerzreduktion über alle Respondern-Schwellen (OR 5,39 bei ≥30% Reduktion, 3,21 bei ≥50%, 3,45 bei ≥70%; alle p&lt;0,05). Mediation über Verhaltensänderung (OBC-definiert) erklärte ~29,1% der Gesamtwirkung (NDE –6,91 mm, 95%KI –13,23––0,58; p=0,03). OBC-Modifier zeigten deutlich stärkere Reduktion (–45,71 vs –22,61 mm; p&lt;0,01) unabhängig von Engagement-Metriken. Woche 4 zeigte höhere ORs als Endpunkt.</w:t>
      </w:r>
    </w:p>
    <w:p>
      <w:r>
        <w:rPr>
          <w:b/>
          <w:sz w:val="19"/>
        </w:rPr>
        <w:t xml:space="preserve">Übertragbarkeit: </w:t>
      </w:r>
      <w:r>
        <w:rPr>
          <w:sz w:val="19"/>
        </w:rPr>
        <w:t>Südkorea-Studie, aber Mechanismus-Befunde (Verhaltensänderung vor Engagement-Volumen) prinzipiell übertragbar</w:t>
      </w:r>
    </w:p>
    <w:p>
      <w:r>
        <w:rPr>
          <w:color w:val="5A7D3A"/>
          <w:sz w:val="18"/>
        </w:rPr>
        <w:t>https://pubmed.ncbi.nlm.nih.gov/42691400/</w:t>
      </w:r>
    </w:p>
    <w:p>
      <w:pPr>
        <w:pStyle w:val="Heading2"/>
      </w:pPr>
      <w:r>
        <w:t>Digitale Gesundheits-Engagement von US-Pflegepersonen: Trend 2019–2022</w:t>
      </w:r>
    </w:p>
    <w:p>
      <w:r>
        <w:rPr>
          <w:i/>
          <w:color w:val="666666"/>
          <w:sz w:val="18"/>
        </w:rPr>
        <w:t>Lee L et al.  ·  J Med Internet Res  ·  03.09.2026  ·  PMID 42691271</w:t>
      </w:r>
    </w:p>
    <w:p>
      <w:r>
        <w:t>Trend-Analyse von Daten aus nationaler Befragung (HINTS) zu digitalem Engagement (Online-Patientenakten, Social Media Gesundheitsnutzung) in 1676 Familien-Pflegepersonen über 3 Erhebungswellen.</w:t>
      </w:r>
    </w:p>
    <w:p>
      <w:r>
        <w:rPr>
          <w:b/>
        </w:rPr>
        <w:t xml:space="preserve">Ergebnis: </w:t>
      </w:r>
      <w:r>
        <w:t>Zugang zu eigenen Online-Akten stieg von 48,7% (2019) auf 72,6% (2022; p&lt;0,001); zu Akten von Pflegebedürftigen von 30,8% auf 44,5% (p&lt;0,001). Sharing von Gesundheitsinformation: 22,5% auf 39,1% (p&lt;0,001); Interaktion mit anderen: 16,6% auf 27,0% (p&lt;0,001); Health-Videos: 49,5% auf 60,9% (p=0,005). Höhere Bildung (OR 2,75, p&lt;0,001) und Krankenversicherung (OR 2,40, p=0,010) assoziiert mit Zugang zu eigenen Akten. Hochgeschwindigkeits-Internet stark assoziiert mit allen Engagement-Outcomes.</w:t>
      </w:r>
    </w:p>
    <w:p>
      <w:r>
        <w:rPr>
          <w:b/>
          <w:sz w:val="19"/>
        </w:rPr>
        <w:t xml:space="preserve">Übertragbarkeit: </w:t>
      </w:r>
      <w:r>
        <w:rPr>
          <w:sz w:val="19"/>
        </w:rPr>
        <w:t>USA-Population, Digitalisierungs-Trends aber auf deutsche Caregiver-Disparitäten (Bildung, Internet-Zugang) übertragbar</w:t>
      </w:r>
    </w:p>
    <w:p>
      <w:r>
        <w:rPr>
          <w:color w:val="5A7D3A"/>
          <w:sz w:val="18"/>
        </w:rPr>
        <w:t>https://pubmed.ncbi.nlm.nih.gov/42691271/</w:t>
      </w:r>
    </w:p>
    <w:p>
      <w:pPr>
        <w:pStyle w:val="Heading2"/>
      </w:pPr>
      <w:r>
        <w:t>Automated Text-Extraction von Verletzungsdaten für Public-Health-Surveillance: Pilotprojekt Schweiz</w:t>
      </w:r>
    </w:p>
    <w:p>
      <w:r>
        <w:rPr>
          <w:i/>
          <w:color w:val="666666"/>
          <w:sz w:val="18"/>
        </w:rPr>
        <w:t>Feer S et al.  ·  Int J Public Health  ·  19.08.2026  ·  PMID 42688159</w:t>
      </w:r>
    </w:p>
    <w:p>
      <w:r>
        <w:t>Machbarkeitsstudie zur automatisierten Analyse von Narrativtexten aus pädiatrischen Notaufnahmeberichten mittels Fine-tuning eines Transformer-Modells für Mehrklassen-Klassifikation von Verletzungsmerkmalen.</w:t>
      </w:r>
    </w:p>
    <w:p>
      <w:r>
        <w:rPr>
          <w:b/>
        </w:rPr>
        <w:t xml:space="preserve">Ergebnis: </w:t>
      </w:r>
      <w:r>
        <w:t>Interrater-Reliabilität steigerte sich von κ=0,45 (moderat) auf κ=0,73 (substanziell) nach Codierungssystem-Anpassung. Multi-Label-F1-Scores auf oberster Ebene: ALL 0,57, IND 0,64, VAR 0,63; auf tieferen Ebenen deutlich niedriger (Niveau 3: F1=0,08–0,23). Automated Prävalenzschätzungen korrelierten stark mit manuellen Annotationen (ρ=0,948). Erste Ergebnisse vielversprechend, aber robuste Validierung erforderlich.</w:t>
      </w:r>
    </w:p>
    <w:p>
      <w:r>
        <w:rPr>
          <w:b/>
          <w:sz w:val="19"/>
        </w:rPr>
        <w:t xml:space="preserve">Übertragbarkeit: </w:t>
      </w:r>
      <w:r>
        <w:rPr>
          <w:sz w:val="19"/>
        </w:rPr>
        <w:t>Schweiz, deutschsprachiger Raum, ähnliche Dokumentationssysteme</w:t>
      </w:r>
    </w:p>
    <w:p>
      <w:r>
        <w:rPr>
          <w:color w:val="5A7D3A"/>
          <w:sz w:val="18"/>
        </w:rPr>
        <w:t>https://pubmed.ncbi.nlm.nih.gov/42688159/</w:t>
      </w:r>
    </w:p>
    <w:p>
      <w:pPr>
        <w:pStyle w:val="Heading2"/>
      </w:pPr>
      <w:r>
        <w:t>Litauens zentralisiertes E-Health-System: Struktur, Evolution und Umsetzungslektionen</w:t>
      </w:r>
    </w:p>
    <w:p>
      <w:r>
        <w:rPr>
          <w:i/>
          <w:color w:val="666666"/>
          <w:sz w:val="18"/>
        </w:rPr>
        <w:t>Dapkutė A et al.  ·  JMIR Form Res  ·  02.09.2026  ·  PMID 42684811</w:t>
      </w:r>
    </w:p>
    <w:p>
      <w:r>
        <w:t>Deskriptive Analyse der historischen Entwicklung, Governance und technischen Architektur des litauischen Digital Health Platform seit 2000.</w:t>
      </w:r>
    </w:p>
    <w:p>
      <w:r>
        <w:rPr>
          <w:b/>
        </w:rPr>
        <w:t xml:space="preserve">Ergebnis: </w:t>
      </w:r>
      <w:r>
        <w:t>System vollständig operational seit 2015. Elektronische Dokumente im DHP stiegen von ~7 Mio. (2017) auf &gt;100 Mio. (2024). Zugang zu Online-Patientenakten durch Patienten stieg kontinuierlich. Telemedicine und Bildaustausch noch weniger reif; Modernisierung für KI-Dienste läuft. Die zentrale, rechtsgestützte Integration zeigt Potenzial und Grenzen national-scale-Integration.</w:t>
      </w:r>
    </w:p>
    <w:p>
      <w:r>
        <w:rPr>
          <w:b/>
          <w:sz w:val="19"/>
        </w:rPr>
        <w:t xml:space="preserve">Übertragbarkeit: </w:t>
      </w:r>
      <w:r>
        <w:rPr>
          <w:sz w:val="19"/>
        </w:rPr>
        <w:t>EU-Mitgliedstaat, vergleichbare regulatorische Anforderungen, übertragbare Governance-Lektionen</w:t>
      </w:r>
    </w:p>
    <w:p>
      <w:r>
        <w:rPr>
          <w:color w:val="5A7D3A"/>
          <w:sz w:val="18"/>
        </w:rPr>
        <w:t>https://pubmed.ncbi.nlm.nih.gov/42684811/</w:t>
      </w:r>
    </w:p>
    <w:p>
      <w:pPr>
        <w:pStyle w:val="Heading1"/>
      </w:pPr>
      <w:r>
        <w:t>Aufgenommen am 03.09.2026</w:t>
      </w:r>
    </w:p>
    <w:p>
      <w:pPr>
        <w:pStyle w:val="Heading2"/>
      </w:pPr>
      <w:r>
        <w:t>Mobile Apps für Beckenbodentraining bei Inkontinenz: Metaanalyse</w:t>
      </w:r>
    </w:p>
    <w:p>
      <w:r>
        <w:rPr>
          <w:i/>
          <w:color w:val="666666"/>
          <w:sz w:val="18"/>
        </w:rPr>
        <w:t>Zhao W et al.  ·  Front Public Health  ·  18.08.2026  ·  PMID 42683171</w:t>
      </w:r>
    </w:p>
    <w:p>
      <w:r>
        <w:t>Systematische Übersicht und Metaanalyse von 12 randomisierten kontrollierten Studien zu mobilen Anwendungen für strukturiertes Beckenbodenmuskeltraining bei weiblicher Harninkontinenz.</w:t>
      </w:r>
    </w:p>
    <w:p>
      <w:r>
        <w:rPr>
          <w:b/>
        </w:rPr>
        <w:t xml:space="preserve">Ergebnis: </w:t>
      </w:r>
      <w:r>
        <w:t>Intervention reduzierte Inkontinenzschwere um 1,93 Punkte (95% CI −2,87 bis −0,98, p&lt;0,0001), Episodenhäufigkeit um 2,28 Episoden (95% CI −3,62 bis −0,94, p=0,0008). Adhärenz verbessert sich um RR 1,42 (95% CI 1,26–1,59, p&lt;0,00001); Lebensqualität um 2,78 Punkte (95% CI −4,43 bis −1,14, p=0,0009).</w:t>
      </w:r>
    </w:p>
    <w:p>
      <w:r>
        <w:rPr>
          <w:b/>
          <w:sz w:val="19"/>
        </w:rPr>
        <w:t xml:space="preserve">Übertragbarkeit: </w:t>
      </w:r>
      <w:r>
        <w:rPr>
          <w:sz w:val="19"/>
        </w:rPr>
        <w:t>Gemischte internationale RCTs, praktisch übertragbar auf deutsche Versorgung mit Vorbehalten zu Effektgröße</w:t>
      </w:r>
    </w:p>
    <w:p>
      <w:r>
        <w:rPr>
          <w:color w:val="5A7D3A"/>
          <w:sz w:val="18"/>
        </w:rPr>
        <w:t>https://pubmed.ncbi.nlm.nih.gov/42683171/</w:t>
      </w:r>
    </w:p>
    <w:p>
      <w:pPr>
        <w:pStyle w:val="Heading2"/>
      </w:pPr>
      <w:r>
        <w:t>Agentic KI-System für autonome Bestrahlungsplanung in der Lungenstrahlentherapie</w:t>
      </w:r>
    </w:p>
    <w:p>
      <w:r>
        <w:rPr>
          <w:i/>
          <w:color w:val="666666"/>
          <w:sz w:val="18"/>
        </w:rPr>
        <w:t>Guo H et al.  ·  Med Phys  ·  Sept. 2026  ·  PMID 42682183</w:t>
      </w:r>
    </w:p>
    <w:p>
      <w:r>
        <w:t>Evaluierung von PlanningCopilot, einem Multi-Agent-LLM-System mit ESAPI-Integration für vollautomatische Bestrahlungsplanung bei lokalem fortgeschrittenem Lungenkrebs ohne manueller Optimierung.</w:t>
      </w:r>
    </w:p>
    <w:p>
      <w:r>
        <w:rPr>
          <w:b/>
        </w:rPr>
        <w:t xml:space="preserve">Ergebnis: </w:t>
      </w:r>
      <w:r>
        <w:t>Alle 62 autonomen Pläne erfüllten klinische Dosimetrie-Anforderungen. Keine signifikanten Unterschiede zu klinischen Plänen für Lunge Dmean (p=0,371), Lunge V20Gy (p=0,449); bessere Ösophagus-Dosis-Sparing (D0,03cc p=0,027). Alle 21 getesteten IMRT-Pläne bestanden Qualitätskontrolle. Lerner-Agent reduzierte Iterationen um 11,8%.</w:t>
      </w:r>
    </w:p>
    <w:p>
      <w:r>
        <w:rPr>
          <w:b/>
          <w:sz w:val="19"/>
        </w:rPr>
        <w:t xml:space="preserve">Übertragbarkeit: </w:t>
      </w:r>
      <w:r>
        <w:rPr>
          <w:sz w:val="19"/>
        </w:rPr>
        <w:t>USA-Studie, aber Algorithmus-Generalisierung und klinische Prozessintegration ist übertragbar</w:t>
      </w:r>
    </w:p>
    <w:p>
      <w:r>
        <w:rPr>
          <w:color w:val="5A7D3A"/>
          <w:sz w:val="18"/>
        </w:rPr>
        <w:t>https://pubmed.ncbi.nlm.nih.gov/42682183/</w:t>
      </w:r>
    </w:p>
    <w:p>
      <w:pPr>
        <w:pStyle w:val="Heading2"/>
      </w:pPr>
      <w:r>
        <w:t>Deep Learning für non-invasive Amyloid-β-Bildgebung per MRT</w:t>
      </w:r>
    </w:p>
    <w:p>
      <w:r>
        <w:rPr>
          <w:i/>
          <w:color w:val="666666"/>
          <w:sz w:val="18"/>
        </w:rPr>
        <w:t>Fujita S et al.  ·  Magn Reson Med Sci  ·  2026  ·  PMID 42633943</w:t>
      </w:r>
    </w:p>
    <w:p>
      <w:r>
        <w:t>Prospektive Multizenterstudie zur Validierung einer Deep-Learning-gestützten MR-Fingerprinting-Methode zur Abbildung von Gehirn-Amyloid-Deposition ohne PET.</w:t>
      </w:r>
    </w:p>
    <w:p>
      <w:r>
        <w:rPr>
          <w:b/>
        </w:rPr>
        <w:t xml:space="preserve">Ergebnis: </w:t>
      </w:r>
      <w:r>
        <w:t>Wiederholbarkeit: Variationskoeffizient 1,8±1,3%, ICC 0,84. MRF-Messwerte korrelierten mit PET-Centiloid-Werten (Spearmans ρ=0,589, p=0,015) und Montreal Cognitive Assessment (ρ=−0,543, p=0,020). Visuelle Ähnlichkeit mit PET-Bildern erreicht.</w:t>
      </w:r>
    </w:p>
    <w:p>
      <w:r>
        <w:rPr>
          <w:b/>
          <w:sz w:val="19"/>
        </w:rPr>
        <w:t xml:space="preserve">Übertragbarkeit: </w:t>
      </w:r>
      <w:r>
        <w:rPr>
          <w:sz w:val="19"/>
        </w:rPr>
        <w:t>Japan, aber methodologisch relevant; externe Validierung gegen etablierte PET-Standards</w:t>
      </w:r>
    </w:p>
    <w:p>
      <w:r>
        <w:rPr>
          <w:color w:val="5A7D3A"/>
          <w:sz w:val="18"/>
        </w:rPr>
        <w:t>https://pubmed.ncbi.nlm.nih.gov/42633943/</w:t>
      </w:r>
    </w:p>
    <w:p>
      <w:pPr>
        <w:pStyle w:val="Heading2"/>
      </w:pPr>
      <w:r>
        <w:t>Machine Learning zur Vorhersage des Rehabilitationserfolgs in psychosomatischer Rehabilitation</w:t>
      </w:r>
    </w:p>
    <w:p>
      <w:r>
        <w:rPr>
          <w:i/>
          <w:color w:val="666666"/>
          <w:sz w:val="18"/>
        </w:rPr>
        <w:t>Velthuysen PG et al.  ·  Rehabilitation (Stuttg)  ·  20.04.2026  ·  PMID 42624118</w:t>
      </w:r>
    </w:p>
    <w:p>
      <w:r>
        <w:t>Sekundärdatenanalyse an 555 Patienten: Random-Forest-Modelle zur Prognose individueller psychosomatischer Rehabilitationserfolge anhand von 16 Fragebögen und 11 Personenmerkmalen.</w:t>
      </w:r>
    </w:p>
    <w:p>
      <w:r>
        <w:rPr>
          <w:b/>
        </w:rPr>
        <w:t xml:space="preserve">Ergebnis: </w:t>
      </w:r>
      <w:r>
        <w:t>30,02–38,94% der Varianz erklärbar (je nach Dimension). In Kreuzvalidierung 29,33–37,83% Varianzaufklärung bestätigt. 45 relevante Prädiktoren identifiziert (17 Skalenwerte, 28 Einzelitems). Autoren: praktische Umsetzung personalisierter Behandlung aktuell nicht realistisch.</w:t>
      </w:r>
    </w:p>
    <w:p>
      <w:r>
        <w:rPr>
          <w:b/>
          <w:sz w:val="19"/>
        </w:rPr>
        <w:t xml:space="preserve">Übertragbarkeit: </w:t>
      </w:r>
      <w:r>
        <w:rPr>
          <w:sz w:val="19"/>
        </w:rPr>
        <w:t>Deutschland, Deutsche Rentenversicherung-Kohorte, direkt auf deutsches Reha-System übertragbar</w:t>
      </w:r>
    </w:p>
    <w:p>
      <w:r>
        <w:rPr>
          <w:color w:val="5A7D3A"/>
          <w:sz w:val="18"/>
        </w:rPr>
        <w:t>https://pubmed.ncbi.nlm.nih.gov/42624118/</w:t>
      </w:r>
    </w:p>
    <w:p>
      <w:pPr>
        <w:pStyle w:val="Heading2"/>
      </w:pPr>
      <w:r>
        <w:t>KI-Algorithmus zur ECG-Screening auf Amyloidose bei Herzinsuffizienz</w:t>
      </w:r>
    </w:p>
    <w:p>
      <w:r>
        <w:rPr>
          <w:i/>
          <w:color w:val="666666"/>
          <w:sz w:val="18"/>
        </w:rPr>
        <w:t>Gioia G et al.  ·  J Am Heart Assoc  ·  20.08.2026  ·  PMID 42622146</w:t>
      </w:r>
    </w:p>
    <w:p>
      <w:r>
        <w:t>Externe Validierung eines visually interpretierbaren, KI-abgeleiteten ECG-Algorithmus zur Erkennung von Transthyretin-Amyloidose bei Patienten mit Herzinsuffizienz und erhaltener Ejektionsfraktion in zwei europäischen Zentren.</w:t>
      </w:r>
    </w:p>
    <w:p>
      <w:r>
        <w:rPr>
          <w:b/>
        </w:rPr>
        <w:t xml:space="preserve">Ergebnis: </w:t>
      </w:r>
      <w:r>
        <w:t>AUC 0,84 (95% CI 0,76–0,92) in externe Kohorte; Sensitivität 89%, Spezifität 79%. Das ECG-Muster war bei 82,6% der ATTR-Patienten gegenüber 10,2% mit HFpEF vorhanden. Die Odds Ratio für ATTR-Assoziation betrug 46 (95% CI 27–80, p&lt;0,001); Dreijahres-Überlebensnachteil signifikant (p=0,007).</w:t>
      </w:r>
    </w:p>
    <w:p>
      <w:r>
        <w:rPr>
          <w:b/>
          <w:sz w:val="19"/>
        </w:rPr>
        <w:t xml:space="preserve">Übertragbarkeit: </w:t>
      </w:r>
      <w:r>
        <w:rPr>
          <w:sz w:val="19"/>
        </w:rPr>
        <w:t>Österreich und Deutschland, vergleichbare Sozialversicherungssysteme und klinische Strukturen</w:t>
      </w:r>
    </w:p>
    <w:p>
      <w:r>
        <w:rPr>
          <w:color w:val="5A7D3A"/>
          <w:sz w:val="18"/>
        </w:rPr>
        <w:t>https://pubmed.ncbi.nlm.nih.gov/42622146/</w:t>
      </w:r>
    </w:p>
    <w:p>
      <w:pPr>
        <w:pStyle w:val="Heading2"/>
      </w:pPr>
      <w:r>
        <w:t>Implementierung sozial-assistiver Roboter in Pflegeheimen: Erfahrungen des Personals</w:t>
      </w:r>
    </w:p>
    <w:p>
      <w:r>
        <w:rPr>
          <w:i/>
          <w:color w:val="666666"/>
          <w:sz w:val="18"/>
        </w:rPr>
        <w:t>Bubeck M et al.  ·  Arch Gerontol Geriatr  ·  28.07.2026  ·  PMID 42603460</w:t>
      </w:r>
    </w:p>
    <w:p>
      <w:r>
        <w:t>Qualitative Studie mit 14 Pflegefachpersonen in Deutschland zur Implementierung sozial-assistiver Roboter in Altenheimen; konstruktivistische Grounded-Theory-Analyse.</w:t>
      </w:r>
    </w:p>
    <w:p>
      <w:r>
        <w:rPr>
          <w:b/>
        </w:rPr>
        <w:t xml:space="preserve">Ergebnis: </w:t>
      </w:r>
      <w:r>
        <w:t>Vier Implementierungsphasen identifiziert (Orientierung, Einführung, Routinisierung, Reassessment). Praktische und moralische Anforderungen verschoben sich systematisch über Zeit. Personal betonte Bedeutung von Professionalität, Kontextsensitivität und kontinuierlicher Reflexion für nachhaltige und ethisch vertretbare Nutzung.</w:t>
      </w:r>
    </w:p>
    <w:p>
      <w:r>
        <w:rPr>
          <w:b/>
          <w:sz w:val="19"/>
        </w:rPr>
        <w:t xml:space="preserve">Übertragbarkeit: </w:t>
      </w:r>
      <w:r>
        <w:rPr>
          <w:sz w:val="19"/>
        </w:rPr>
        <w:t>Deutschland, direkt von Pflegepersonal gewonnene Erkenntnisse zu lokalen Implementierungsfaktoren</w:t>
      </w:r>
    </w:p>
    <w:p>
      <w:r>
        <w:rPr>
          <w:color w:val="5A7D3A"/>
          <w:sz w:val="18"/>
        </w:rPr>
        <w:t>https://pubmed.ncbi.nlm.nih.gov/42603460/</w:t>
      </w:r>
    </w:p>
    <w:p>
      <w:pPr>
        <w:pStyle w:val="Heading1"/>
      </w:pPr>
      <w:r>
        <w:t>Aufgenommen am 02.09.2026</w:t>
      </w:r>
    </w:p>
    <w:p>
      <w:pPr>
        <w:pStyle w:val="Heading2"/>
      </w:pPr>
      <w:r>
        <w:t>LLM-gestützte Verhaltensaktivierung bei Depression: Expertenbewertung</w:t>
      </w:r>
    </w:p>
    <w:p>
      <w:r>
        <w:rPr>
          <w:i/>
          <w:color w:val="666666"/>
          <w:sz w:val="18"/>
        </w:rPr>
        <w:t>Kuhlmeier FO et al.  ·  JMIR Ment Health  ·  01.09.2026  ·  PMID 42679232</w:t>
      </w:r>
    </w:p>
    <w:p>
      <w:r>
        <w:t>GPT-4o-Chatbot für strukturierte Verhaltensaktivierungstherapie bei jungen Menschen mit Depression wurde mit 48 künstlichen Nutzersessions von 10 klinischen Experten bewertet.</w:t>
      </w:r>
    </w:p>
    <w:p>
      <w:r>
        <w:rPr>
          <w:b/>
        </w:rPr>
        <w:t xml:space="preserve">Ergebnis: </w:t>
      </w:r>
      <w:r>
        <w:t>Chatbot vollendete alle 7 Interventionsphasen; durchschnittliche Qualitätsbewertung 3,94 (SD 1,23), Q-BAS-Score 4,03 (SD 1,18). 13 von 14 Q-BAS-Komponenten überschritten Schwellenwert (3,0). Stärken: Sicherheit (5,90), Klarheit (5,56); Schwächen: Verstärkung erklären (2,92), Monitoring unterstützen (3,02). Experten attestierten struktu­rierten Aufbau, identifizierten aber unzureichende klinische Urteilsfähigkeit als Hauptlimitation.</w:t>
      </w:r>
    </w:p>
    <w:p>
      <w:r>
        <w:rPr>
          <w:b/>
          <w:sz w:val="19"/>
        </w:rPr>
        <w:t xml:space="preserve">Übertragbarkeit: </w:t>
      </w:r>
      <w:r>
        <w:rPr>
          <w:sz w:val="19"/>
        </w:rPr>
        <w:t>Deutsche Forschungsgruppen (Greifswald, Saarland, KIT Karlsruhe), psychotherapiebasierte Versorgung</w:t>
      </w:r>
    </w:p>
    <w:p>
      <w:r>
        <w:rPr>
          <w:color w:val="5A7D3A"/>
          <w:sz w:val="18"/>
        </w:rPr>
        <w:t>https://pubmed.ncbi.nlm.nih.gov/42679232/</w:t>
      </w:r>
    </w:p>
    <w:p>
      <w:pPr>
        <w:pStyle w:val="Heading2"/>
      </w:pPr>
      <w:r>
        <w:t>Hybrid- versus reine Präsenzbetreuung bei Herzerkrankungen</w:t>
      </w:r>
    </w:p>
    <w:p>
      <w:r>
        <w:rPr>
          <w:i/>
          <w:color w:val="666666"/>
          <w:sz w:val="18"/>
        </w:rPr>
        <w:t>Nielsen SK et al.  ·  J Med Internet Res  ·  01.09.2026  ·  PMID 42679096</w:t>
      </w:r>
    </w:p>
    <w:p>
      <w:r>
        <w:t>Kohortenstudie mit Daten aus Dänemarks nationalen Registern von 2019–2023 zur Häufigkeit und Ergebnissen virtueller Folgeuntersuchungen bei Vorhofflimmern, Herzinsuffizienz, Lungenembolie und Koronarsyndrom.</w:t>
      </w:r>
    </w:p>
    <w:p>
      <w:r>
        <w:rPr>
          <w:b/>
        </w:rPr>
        <w:t xml:space="preserve">Ergebnis: </w:t>
      </w:r>
      <w:r>
        <w:t>Von 45.919 (AF) bis 30.482 (HF) Patienten: 27,3% (AF) bis 51,7% (HF) hatten teilweise virtuelle Betreuung. Virtuelle Besuche korreliert mit Stadt-Residenz (AF: OR 1,27; HF: OR 1,38) und hoher Gebrechlichkeit (AF: OR 1,63). Initiation neuer Leitlinienmedikation unterschied sich marginal (HF-Beispiel: SGLT2i 2,23% virtuell vs. 4,47% in-person; Differenz −2,24%, 95% KI −2,61 bis −1,87).</w:t>
      </w:r>
    </w:p>
    <w:p>
      <w:r>
        <w:rPr>
          <w:b/>
          <w:sz w:val="19"/>
        </w:rPr>
        <w:t xml:space="preserve">Übertragbarkeit: </w:t>
      </w:r>
      <w:r>
        <w:rPr>
          <w:sz w:val="19"/>
        </w:rPr>
        <w:t>Skandinavisches Digitalisierungsniveau deutlich höher als Deutschland; Patientenselektion nicht randomisiert</w:t>
      </w:r>
    </w:p>
    <w:p>
      <w:r>
        <w:rPr>
          <w:color w:val="5A7D3A"/>
          <w:sz w:val="18"/>
        </w:rPr>
        <w:t>https://pubmed.ncbi.nlm.nih.gov/42679096/</w:t>
      </w:r>
    </w:p>
    <w:p>
      <w:pPr>
        <w:pStyle w:val="Heading2"/>
      </w:pPr>
      <w:r>
        <w:t>KI-gestützte Stuhlkonsistenz-Bewertung per App zur Optimierung der Koloskopie-Vorbereitung</w:t>
      </w:r>
    </w:p>
    <w:p>
      <w:r>
        <w:rPr>
          <w:i/>
          <w:color w:val="666666"/>
          <w:sz w:val="18"/>
        </w:rPr>
        <w:t>Inaba A et al.  ·  JMIR Mhealth Uhealth  ·  01.09.2026  ·  PMID 42679048</w:t>
      </w:r>
    </w:p>
    <w:p>
      <w:r>
        <w:t>Prospektive multizentrische Machbarkeitsstudie (10 japanische Zentren, November 2022–Dezember 2023) mit Smartphone-App zur Bewertung der Stuhl­qualität während Darmvorbereitung mittels KI und Echtzeit-Viewer für medizinisches Personal.</w:t>
      </w:r>
    </w:p>
    <w:p>
      <w:r>
        <w:rPr>
          <w:b/>
        </w:rPr>
        <w:t xml:space="preserve">Ergebnis: </w:t>
      </w:r>
      <w:r>
        <w:t>Gesamtergebnis: 99,1% (323/326) der Patienten erreichten Primärendpunkt (BBPS ≥6). Mittlerer BBPS 8,5 (SD 1,0); 87,4% hatten exzellente Scores (≥8). Adenomdetektionsrate 46,9%, cecale Intubation 99,7%, durchschnittliche Rückzugszeit 10,7 Minuten. Patientenzufriedenheit: 98,5% fanden Tutorial verständlich, 96,0% Erfassung leicht, 87,8% weniger Angst. Personalzufriedenheit: 92,5% hielten Viewer notwendig, 89,6% einfach zu nutzen, 89,6% Arbeitsaufwand reduziert.</w:t>
      </w:r>
    </w:p>
    <w:p>
      <w:r>
        <w:rPr>
          <w:b/>
          <w:sz w:val="19"/>
        </w:rPr>
        <w:t xml:space="preserve">Übertragbarkeit: </w:t>
      </w:r>
      <w:r>
        <w:rPr>
          <w:sz w:val="19"/>
        </w:rPr>
        <w:t>Japan, aber Methodik und Technologie-Nutzbarkeit auf europäische Kolonoskopie-Praxis übertragbar</w:t>
      </w:r>
    </w:p>
    <w:p>
      <w:r>
        <w:rPr>
          <w:color w:val="5A7D3A"/>
          <w:sz w:val="18"/>
        </w:rPr>
        <w:t>https://pubmed.ncbi.nlm.nih.gov/42679048/</w:t>
      </w:r>
    </w:p>
    <w:p>
      <w:pPr>
        <w:pStyle w:val="Heading2"/>
      </w:pPr>
      <w:r>
        <w:t>Large Language Models in europäischen Anästhesiologie-Prüfungen</w:t>
      </w:r>
    </w:p>
    <w:p>
      <w:r>
        <w:rPr>
          <w:i/>
          <w:color w:val="666666"/>
          <w:sz w:val="18"/>
        </w:rPr>
        <w:t>Andrei S et al.  ·  JMIR Form Res  ·  01.09.2026  ·  PMID 42678529</w:t>
      </w:r>
    </w:p>
    <w:p>
      <w:r>
        <w:t>Vergleichende Studie von Claude Sonnet 4.5, Gemini 2.5 Pro, GPT-5 und Grok 4 bei 437 Multiple-Choice-Fragen (1748 Queries) aus europäischen Anästhesiologie-Examina (EDAIC, Pflegeanästhesisten).</w:t>
      </w:r>
    </w:p>
    <w:p>
      <w:r>
        <w:rPr>
          <w:b/>
        </w:rPr>
        <w:t xml:space="preserve">Ergebnis: </w:t>
      </w:r>
      <w:r>
        <w:t>Erfolgsquoten 86% bis 94% (alle über EDAIC-Teil-I-Bestehensgrenze). Signifikante Unterschiede zwischen Modellen nur für EDAIC (Friedman χ²=13,9; p=0,003; W=0,02): Gemini vs. GPT-5 statistisch bedeutsam. Halluzinationsrate 11% bis 20,1% ohne signifikante Unterschiede. Schlussfolgerung: Hohe Leistung aber klinisch relevante Halluzinationen (11–20%), daher nur als überwachte Lernwerkzeuge geeignet.</w:t>
      </w:r>
    </w:p>
    <w:p>
      <w:r>
        <w:rPr>
          <w:b/>
          <w:sz w:val="19"/>
        </w:rPr>
        <w:t xml:space="preserve">Übertragbarkeit: </w:t>
      </w:r>
      <w:r>
        <w:rPr>
          <w:sz w:val="19"/>
        </w:rPr>
        <w:t>Multinationale europäische Studie (Frankreich, Rumänien), europäische Zertifizierungen</w:t>
      </w:r>
    </w:p>
    <w:p>
      <w:r>
        <w:rPr>
          <w:color w:val="5A7D3A"/>
          <w:sz w:val="18"/>
        </w:rPr>
        <w:t>https://pubmed.ncbi.nlm.nih.gov/42678529/</w:t>
      </w:r>
    </w:p>
    <w:p>
      <w:pPr>
        <w:pStyle w:val="Heading2"/>
      </w:pPr>
      <w:r>
        <w:t>Smartphone-basiertes Distress-Screening bei Sarkomapatien</w:t>
      </w:r>
    </w:p>
    <w:p>
      <w:r>
        <w:rPr>
          <w:i/>
          <w:color w:val="666666"/>
          <w:sz w:val="18"/>
        </w:rPr>
        <w:t>Lenze F et al.  ·  Anticancer Res  ·  Sept. 2026  ·  PMID 42674702</w:t>
      </w:r>
    </w:p>
    <w:p>
      <w:r>
        <w:t>Prospektive Machbarkeitsstudie mit 45 Sarkoma-Patienten: Psychoonkologisches Distress-Screening per Smartphone mit Fragebogen QSC-R10 an zwei Zeitpunkten, Usability-Messung mit System Usability Scale.</w:t>
      </w:r>
    </w:p>
    <w:p>
      <w:r>
        <w:rPr>
          <w:b/>
        </w:rPr>
        <w:t xml:space="preserve">Ergebnis: </w:t>
      </w:r>
      <w:r>
        <w:t>QSC-R10-Mittelwerte signifikant von T1 zu T2 gesunken (p=0,034). Patienten mit Rezidiven zeigten signifikant höheres Distress bei Follow-up (p=0,012). Usability hoch: SUS 83,78±12,68. Gesamtzufriedenheit hoch. App wird als machbar und gut akzeptiert bewertet.</w:t>
      </w:r>
    </w:p>
    <w:p>
      <w:r>
        <w:rPr>
          <w:b/>
          <w:sz w:val="19"/>
        </w:rPr>
        <w:t xml:space="preserve">Übertragbarkeit: </w:t>
      </w:r>
      <w:r>
        <w:rPr>
          <w:sz w:val="19"/>
        </w:rPr>
        <w:t>Deutsche Klinikgruppe (TU München), deutsches Gesundheitssystem-Setting</w:t>
      </w:r>
    </w:p>
    <w:p>
      <w:r>
        <w:rPr>
          <w:color w:val="5A7D3A"/>
          <w:sz w:val="18"/>
        </w:rPr>
        <w:t>https://pubmed.ncbi.nlm.nih.gov/42674702/</w:t>
      </w:r>
    </w:p>
    <w:p>
      <w:pPr>
        <w:pStyle w:val="Heading2"/>
      </w:pPr>
      <w:r>
        <w:t>Perioperative Versorgungsqualität in Thoraxchirurgie mittels KI-gestützter Leitliniensynopse</w:t>
      </w:r>
    </w:p>
    <w:p>
      <w:r>
        <w:rPr>
          <w:i/>
          <w:color w:val="666666"/>
          <w:sz w:val="18"/>
        </w:rPr>
        <w:t>Jahn N et al.  ·  Zentralbl Chir  ·  21.08.2026  ·  PMID 42628535</w:t>
      </w:r>
    </w:p>
    <w:p>
      <w:r>
        <w:t>Narrative Übersicht mit KI-assistiertem Verfassungs- und menschlich kontrolliertem Verifikations-Workflow zur Optimierung postoperativer Versorgung bei Thoraxchirurgie, fokussierend auf PPCs, Frailty, Prehabilitation und Kontinuum der Pflege.</w:t>
      </w:r>
    </w:p>
    <w:p>
      <w:r>
        <w:rPr>
          <w:b/>
        </w:rPr>
        <w:t xml:space="preserve">Ergebnis: </w:t>
      </w:r>
      <w:r>
        <w:t>Präoperatives Screening (Frailty, Ernährung) identifiziert Hochrisikogruppen. Prehabilitation reduziert PPCs und Liegedauer signifikant. PEEP-Titration, erector spinae plane blocks, High-Flow-Nasalsauerstoff präferiert über Standard-Nicht­invasivbeatmung. Procalcitonin-gesteuertes Antibiotic Stewardship reduziert Exposition. Failure-to-Rescue-Konzept mit Wearable-Monitoring zur Vermeidung ungeplanter ICU-Aufnahmen kritisch.</w:t>
      </w:r>
    </w:p>
    <w:p>
      <w:r>
        <w:rPr>
          <w:b/>
          <w:sz w:val="19"/>
        </w:rPr>
        <w:t xml:space="preserve">Übertragbarkeit: </w:t>
      </w:r>
      <w:r>
        <w:rPr>
          <w:sz w:val="19"/>
        </w:rPr>
        <w:t>Österreich und Deutschland (Graz, Leipzig), europäisches Versorgungssystem</w:t>
      </w:r>
    </w:p>
    <w:p>
      <w:r>
        <w:rPr>
          <w:color w:val="5A7D3A"/>
          <w:sz w:val="18"/>
        </w:rPr>
        <w:t>https://pubmed.ncbi.nlm.nih.gov/42628535/</w:t>
      </w:r>
    </w:p>
    <w:p>
      <w:pPr>
        <w:pStyle w:val="Heading1"/>
      </w:pPr>
      <w:r>
        <w:t>Aufgenommen am 01.09.2026</w:t>
      </w:r>
    </w:p>
    <w:p>
      <w:pPr>
        <w:pStyle w:val="Heading2"/>
      </w:pPr>
      <w:r>
        <w:t>Mobile App für Patientenverfügungen: Nutzerfreundlichkeit und Zufriedenheit mit iDecide</w:t>
      </w:r>
    </w:p>
    <w:p>
      <w:r>
        <w:rPr>
          <w:i/>
          <w:color w:val="666666"/>
          <w:sz w:val="18"/>
        </w:rPr>
        <w:t>Von Segesser A et al.  ·  Swiss Med Wkly  ·  25.08.2026  ·  PMID 42672122</w:t>
      </w:r>
    </w:p>
    <w:p>
      <w:r>
        <w:t>Participatory Action Research zur Entwicklung der iDecide-App für die Erstellung von Patientenverfügungen in der Schweiz; Bewertung durch 94 Nutzer mit Fünf-Punkte-Skala.</w:t>
      </w:r>
    </w:p>
    <w:p>
      <w:r>
        <w:rPr>
          <w:b/>
        </w:rPr>
        <w:t xml:space="preserve">Ergebnis: </w:t>
      </w:r>
      <w:r>
        <w:t>Mittlere Gesamtbewertung 4,69 (SD 0,57, 95%-KI 4,56–4,81) über alle Altersgruppen konsistent; hohe Benutzerfreundlichkeit und Zufriedenheit mit Informationsqualität; verfügbar ohne zusätzliche Infrastruktur.</w:t>
      </w:r>
    </w:p>
    <w:p>
      <w:r>
        <w:rPr>
          <w:b/>
          <w:sz w:val="19"/>
        </w:rPr>
        <w:t xml:space="preserve">Übertragbarkeit: </w:t>
      </w:r>
      <w:r>
        <w:rPr>
          <w:sz w:val="19"/>
        </w:rPr>
        <w:t>Schweiz, nationale Roadmap zur Umsetzung berücksichtigt.</w:t>
      </w:r>
    </w:p>
    <w:p>
      <w:r>
        <w:rPr>
          <w:color w:val="5A7D3A"/>
          <w:sz w:val="18"/>
        </w:rPr>
        <w:t>https://pubmed.ncbi.nlm.nih.gov/42672122/</w:t>
      </w:r>
    </w:p>
    <w:p>
      <w:pPr>
        <w:pStyle w:val="Heading2"/>
      </w:pPr>
      <w:r>
        <w:t>KI-gestützte virtuelle Patienten für pädiatrische Interviewtraining in Medizinstudium</w:t>
      </w:r>
    </w:p>
    <w:p>
      <w:r>
        <w:rPr>
          <w:i/>
          <w:color w:val="666666"/>
          <w:sz w:val="18"/>
        </w:rPr>
        <w:t>Fernández C et al.  ·  J Educ Eval Health Prof  ·  31.08.2026  ·  PMID 42670678</w:t>
      </w:r>
    </w:p>
    <w:p>
      <w:r>
        <w:t>Zwei observationale Studien zur Akzeptanz von conversational AI-basierten virtuellen Patienten durch Medizinstudierende im Curriculum; Zufriedenheit und Einflussfaktoren analysiert.</w:t>
      </w:r>
    </w:p>
    <w:p>
      <w:r>
        <w:rPr>
          <w:b/>
        </w:rPr>
        <w:t xml:space="preserve">Ergebnis: </w:t>
      </w:r>
      <w:r>
        <w:t>Plattformbewertung hoch (Mittelwert 9,04, SD 1,09); signifikanter Zusammenhang zwischen Nutzerinteraktionen und Zufriedenheit (p=0,038, β=0,022); keine signifikanten demografischen Unterschiede; Akzeptanz vergleichbar mit bisheriger Literatur bestätigt.</w:t>
      </w:r>
    </w:p>
    <w:p>
      <w:r>
        <w:rPr>
          <w:b/>
          <w:sz w:val="19"/>
        </w:rPr>
        <w:t xml:space="preserve">Übertragbarkeit: </w:t>
      </w:r>
      <w:r>
        <w:rPr>
          <w:sz w:val="19"/>
        </w:rPr>
        <w:t>Spanien, europäischer Hochschulkontext, aber Generalisierbarkeit zu prüfen.</w:t>
      </w:r>
    </w:p>
    <w:p>
      <w:r>
        <w:rPr>
          <w:color w:val="5A7D3A"/>
          <w:sz w:val="18"/>
        </w:rPr>
        <w:t>https://pubmed.ncbi.nlm.nih.gov/42670678/</w:t>
      </w:r>
    </w:p>
    <w:p>
      <w:pPr>
        <w:pStyle w:val="Heading2"/>
      </w:pPr>
      <w:r>
        <w:t>App-basiertes Biofeedback zur Migräneprävention: randomisierte Studie</w:t>
      </w:r>
    </w:p>
    <w:p>
      <w:r>
        <w:rPr>
          <w:i/>
          <w:color w:val="666666"/>
          <w:sz w:val="18"/>
        </w:rPr>
        <w:t>Poole AC et al.  ·  Cephalalgia  ·  30.08.2026  ·  PMID 42669793</w:t>
      </w:r>
    </w:p>
    <w:p>
      <w:r>
        <w:t>Offene, randomisierte, wartelistenkontrollierte Multicenterstudie zu 12-Wochen-App-basiertem Biofeedback zur Migräneprophylaxe mit klinisch validiertem Outcome (monatliche Migränetage, MSQ-Score).</w:t>
      </w:r>
    </w:p>
    <w:p>
      <w:r>
        <w:rPr>
          <w:b/>
        </w:rPr>
        <w:t xml:space="preserve">Ergebnis: </w:t>
      </w:r>
      <w:r>
        <w:t>Von 1.113 gescreenten 279 randomisiert (92% Frauen, Mittelalter 41 Jahre). Primäres Outcome (Wochen 9–12): Intervention –0,9 Tage (95%-KI –1,4 bis –0,5) vs. Kontrolle 0,0 Tage (95%-KI –0,5 bis 0,4); Differenz 0,9 Tage (p=0,002). MSQ-Verbesserung: +5,3 Punkte (95%-KI 2,1 bis 8,6; p=0,001). Neun milde Nebenwirkungen. Ergebnis: statistisch signifikante Reduktion der Migränehäufigkeit bei günstiger Sicherheit.</w:t>
      </w:r>
    </w:p>
    <w:p>
      <w:r>
        <w:rPr>
          <w:b/>
          <w:sz w:val="19"/>
        </w:rPr>
        <w:t xml:space="preserve">Übertragbarkeit: </w:t>
      </w:r>
      <w:r>
        <w:rPr>
          <w:sz w:val="19"/>
        </w:rPr>
        <w:t>Skandinavien, Digitalisierungsgrad höher, aber Konzept übertragbar.</w:t>
      </w:r>
    </w:p>
    <w:p>
      <w:r>
        <w:rPr>
          <w:color w:val="5A7D3A"/>
          <w:sz w:val="18"/>
        </w:rPr>
        <w:t>https://pubmed.ncbi.nlm.nih.gov/42669793/</w:t>
      </w:r>
    </w:p>
    <w:p>
      <w:pPr>
        <w:pStyle w:val="Heading2"/>
      </w:pPr>
      <w:r>
        <w:t>Machine Learning für Pharmacogenetics-Entscheidungsuntersützung: Scoping Review zur klinischen Umsetzung</w:t>
      </w:r>
    </w:p>
    <w:p>
      <w:r>
        <w:rPr>
          <w:i/>
          <w:color w:val="666666"/>
          <w:sz w:val="18"/>
        </w:rPr>
        <w:t>Taylor AD et al.  ·  Appl Clin Inform  ·  30.08.2026  ·  PMID 42669295</w:t>
      </w:r>
    </w:p>
    <w:p>
      <w:r>
        <w:t>Systematische Literaturübersicht (2015–Sept. 2025) zu ML-basierten CDSS-Systemen für Pharmacogenetics-gestützte Therapieentscheidungen; Fokus auf klinische Implementierung, nicht nur Modellentwicklung.</w:t>
      </w:r>
    </w:p>
    <w:p>
      <w:r>
        <w:rPr>
          <w:b/>
        </w:rPr>
        <w:t xml:space="preserve">Ergebnis: </w:t>
      </w:r>
      <w:r>
        <w:t>Von 1.262 gescreenten Datensätzen erfüllten 7 Studien Kriterien. Alle beschrieben ML-Systeme mit integrierter Pharmacogenetic-Daten in klinischer Umgebung. Mehrheit zeigte potenzielle Vorteile (Reduktion vermeidbarer Arzneischäden, bessere Verschreibungsgenauigkeit, Workflow-Integration). Aber: Nur 2 Studien evaluierten ML-PGx-CDSS in echten klinischen oder Trial-Workflows; klinische Implementierung bleibt begrenzt.</w:t>
      </w:r>
    </w:p>
    <w:p>
      <w:r>
        <w:rPr>
          <w:b/>
          <w:sz w:val="19"/>
        </w:rPr>
        <w:t xml:space="preserve">Übertragbarkeit: </w:t>
      </w:r>
      <w:r>
        <w:rPr>
          <w:sz w:val="19"/>
        </w:rPr>
        <w:t>USA-Studien dominant, aber methodische Erkenntnisse zur Workflow-Integration für Deutschland relevant.</w:t>
      </w:r>
    </w:p>
    <w:p>
      <w:r>
        <w:rPr>
          <w:color w:val="5A7D3A"/>
          <w:sz w:val="18"/>
        </w:rPr>
        <w:t>https://pubmed.ncbi.nlm.nih.gov/42669295/</w:t>
      </w:r>
    </w:p>
    <w:p>
      <w:pPr>
        <w:pStyle w:val="Heading2"/>
      </w:pPr>
      <w:r>
        <w:t>Machine Learning zur Prognose von Sarkopenie und Mortalität bei Lymphombehandlung</w:t>
      </w:r>
    </w:p>
    <w:p>
      <w:r>
        <w:rPr>
          <w:i/>
          <w:color w:val="666666"/>
          <w:sz w:val="18"/>
        </w:rPr>
        <w:t>Ullrich F et al.  ·  Blood Adv  ·  08.09.2026  ·  PMID 42664000</w:t>
      </w:r>
    </w:p>
    <w:p>
      <w:r>
        <w:t>Prospektive Phase-3-Studie (PETAL-Trial) zur Vorhersage von Sterblichkeit und Toxizität mittels Deep Learning-gestützter Körperzusammensetzungsanalyse an CT-Bildern von DLBCL-Patienten; klinisches Outcome als primär untersucht.</w:t>
      </w:r>
    </w:p>
    <w:p>
      <w:r>
        <w:rPr>
          <w:b/>
        </w:rPr>
        <w:t xml:space="preserve">Ergebnis: </w:t>
      </w:r>
      <w:r>
        <w:t>Sarkopenie assoziiert mit inferior Überleben nach Adjustierung für bekannte Risikofaktoren; Ursachen-spezifische Analyse: Sarkopenie prädiktiv für Non-Relapse-Mortalität (nicht für lymphom-spezifische Mortalität); sarkopenische Patienten höhere Häufigkeit von Hämatotoxizität; früher Muskelverlust während Therapie mit inferiorem Überleben korreliert.</w:t>
      </w:r>
    </w:p>
    <w:p>
      <w:r>
        <w:rPr>
          <w:b/>
          <w:sz w:val="19"/>
        </w:rPr>
        <w:t xml:space="preserve">Übertragbarkeit: </w:t>
      </w:r>
      <w:r>
        <w:rPr>
          <w:sz w:val="19"/>
        </w:rPr>
        <w:t>Deutsche Universitätskliniken, ähnliche Dokumentation und Patientenpopulation.</w:t>
      </w:r>
    </w:p>
    <w:p>
      <w:r>
        <w:rPr>
          <w:color w:val="5A7D3A"/>
          <w:sz w:val="18"/>
        </w:rPr>
        <w:t>https://pubmed.ncbi.nlm.nih.gov/42664000/</w:t>
      </w:r>
    </w:p>
    <w:p>
      <w:pPr>
        <w:pStyle w:val="Heading2"/>
      </w:pPr>
      <w:r>
        <w:t>Individual Participant Data Meta-Analyse zu Long-COVID-Langzeitfolgen: Datenbank aus 40 Ländern</w:t>
      </w:r>
    </w:p>
    <w:p>
      <w:r>
        <w:rPr>
          <w:i/>
          <w:color w:val="666666"/>
          <w:sz w:val="18"/>
        </w:rPr>
        <w:t>Ali M et al.  ·  Health Soc Care Deliv Res  ·  Aug. 2026  ·  PMID 42663308</w:t>
      </w:r>
    </w:p>
    <w:p>
      <w:r>
        <w:t>PRECIOUS-Studie: systematische Metaanalyse von 116 Datensätzen (62.849 Personen) zu Langzeitfolgen nach COVID-19 aus klinischen, Gemeinschafts- und Forschungseinrichtungen; Assoziation mit Outcomes über 3–24 Monate untersucht.</w:t>
      </w:r>
    </w:p>
    <w:p>
      <w:r>
        <w:rPr>
          <w:b/>
        </w:rPr>
        <w:t xml:space="preserve">Ergebnis: </w:t>
      </w:r>
      <w:r>
        <w:t>Frauen hatten schlechtere Outcomes in 30/37 Modellen vs. Männer; vorbestehende Lungenerkrankung und Alter in 15/37 Modellen mit schlechteren Outcomes assoziiert; Hospitalisierung, Diabetes, chronische Nierenkrankheit je in 8/37 Modellen prädiktiv; initiale Hospitalisierung führte zu niedrigerer Lebensqualität ohne Erholung über bis zu 2 Jahre; Heterogenität niedrig in 34/37 Modellen.</w:t>
      </w:r>
    </w:p>
    <w:p>
      <w:r>
        <w:rPr>
          <w:b/>
          <w:sz w:val="19"/>
        </w:rPr>
        <w:t xml:space="preserve">Übertragbarkeit: </w:t>
      </w:r>
      <w:r>
        <w:rPr>
          <w:sz w:val="19"/>
        </w:rPr>
        <w:t>Überwiegend Hocheinkommensländer, teilweise europäische Daten; Implementierungslücken für Deutschland identifiziert.</w:t>
      </w:r>
    </w:p>
    <w:p>
      <w:r>
        <w:rPr>
          <w:color w:val="5A7D3A"/>
          <w:sz w:val="18"/>
        </w:rPr>
        <w:t>https://pubmed.ncbi.nlm.nih.gov/42663308/</w:t>
      </w:r>
    </w:p>
    <w:p>
      <w:pPr>
        <w:pStyle w:val="Heading2"/>
      </w:pPr>
      <w:r>
        <w:t>Mobile Health in Palliativversorgung: Realist Review zu Kontextfaktoren und Wirkmechanismen</w:t>
      </w:r>
    </w:p>
    <w:p>
      <w:r>
        <w:rPr>
          <w:i/>
          <w:color w:val="666666"/>
          <w:sz w:val="18"/>
        </w:rPr>
        <w:t>Gebre NT et al.  ·  JMIR Mhealth Uhealth  ·  14.08.2026  ·  PMID 42600073</w:t>
      </w:r>
    </w:p>
    <w:p>
      <w:r>
        <w:t>Realist Review nach JBI-Methodik zu mHealth-Interventionen in der häuslichen Palliativversorgung; Synthese über Kontextfaktoren, Mechanismen und Outcomes aus 126 eingeschlossenen Studien.</w:t>
      </w:r>
    </w:p>
    <w:p>
      <w:r>
        <w:rPr>
          <w:b/>
        </w:rPr>
        <w:t xml:space="preserve">Ergebnis: </w:t>
      </w:r>
      <w:r>
        <w:t>Sechs positive Wirkmechanismen identifiziert: (1) Reduktion von Besorgnis durch Orientierung, (2) Minimierung technischer Barrieren durch nutzerfreundliches Design, (3) Stakeholder-Engagement, (4) Interoperabilität von Informationssystemen, (5) Zugang zu Gesundheitsteams, (6) Nutzerbefähigung durch Information; Implementierung erfordert Sicherheit, Technologiekompetenz, angepasste Kommunikation, Familieneinbindung.</w:t>
      </w:r>
    </w:p>
    <w:p>
      <w:r>
        <w:rPr>
          <w:b/>
          <w:sz w:val="19"/>
        </w:rPr>
        <w:t xml:space="preserve">Übertragbarkeit: </w:t>
      </w:r>
      <w:r>
        <w:rPr>
          <w:sz w:val="19"/>
        </w:rPr>
        <w:t>International, aber wenig spezifische deutsche Implementierungsdaten.</w:t>
      </w:r>
    </w:p>
    <w:p>
      <w:r>
        <w:rPr>
          <w:color w:val="5A7D3A"/>
          <w:sz w:val="18"/>
        </w:rPr>
        <w:t>https://pubmed.ncbi.nlm.nih.gov/42600073/</w:t>
      </w:r>
    </w:p>
    <w:p>
      <w:pPr>
        <w:pStyle w:val="Heading1"/>
      </w:pPr>
      <w:r>
        <w:t>Aufgenommen am 31.08.2026</w:t>
      </w:r>
    </w:p>
    <w:p>
      <w:pPr>
        <w:pStyle w:val="Heading2"/>
      </w:pPr>
      <w:r>
        <w:t>Strukturierte digitale Dokumentation in der Neonatalanästhesie: Neo Somno Log</w:t>
      </w:r>
    </w:p>
    <w:p>
      <w:r>
        <w:rPr>
          <w:i/>
          <w:color w:val="666666"/>
          <w:sz w:val="18"/>
        </w:rPr>
        <w:t>Trinh SH et al.  ·  Orv Hetil  ·  30.08.2026  ·  PMID 42669146</w:t>
      </w:r>
    </w:p>
    <w:p>
      <w:r>
        <w:t>Entwicklung und Pilotierung eines elektronischen Dokumentationssystems für strukturierte Erfassung von intraoperativen Ereignissen bei neonatologischen Anästhesien in Ungarn.</w:t>
      </w:r>
    </w:p>
    <w:p>
      <w:r>
        <w:rPr>
          <w:b/>
        </w:rPr>
        <w:t xml:space="preserve">Ergebnis: </w:t>
      </w:r>
      <w:r>
        <w:t>Das System erfasst 864 verschiedene Datenpunkte über 5 Domänen strukturiert und zeitgestempelt. Bei 167 Neugeborenen (Mediangewicht 2900 g) wurden 94 abdominale, 21 neurochirurgische, 22 thorakale, 14 ophthalmologische und 12 weitere Eingriffe dokumentiert. Die Pilotierung zeigte Machbarkeit und Praktikabilität für Versorgungsqualitätsverbesserung und Patientensicherheit.</w:t>
      </w:r>
    </w:p>
    <w:p>
      <w:r>
        <w:rPr>
          <w:b/>
          <w:sz w:val="19"/>
        </w:rPr>
        <w:t xml:space="preserve">Übertragbarkeit: </w:t>
      </w:r>
      <w:r>
        <w:rPr>
          <w:sz w:val="19"/>
        </w:rPr>
        <w:t>Ungarn, europäisches Universitätsklinikum, strukturierte Papierersetzung durch digitale Datenerfassung.</w:t>
      </w:r>
    </w:p>
    <w:p>
      <w:r>
        <w:rPr>
          <w:color w:val="5A7D3A"/>
          <w:sz w:val="18"/>
        </w:rPr>
        <w:t>https://pubmed.ncbi.nlm.nih.gov/42669146/</w:t>
      </w:r>
    </w:p>
    <w:p>
      <w:pPr>
        <w:pStyle w:val="Heading2"/>
      </w:pPr>
      <w:r>
        <w:t>Interpretable Machine Learning für finanzielle Risikostratifizierung in der kolorektalen Chirurgie unter DRG-Entgelt</w:t>
      </w:r>
    </w:p>
    <w:p>
      <w:r>
        <w:rPr>
          <w:i/>
          <w:color w:val="666666"/>
          <w:sz w:val="18"/>
        </w:rPr>
        <w:t>Fan B et al.  ·  Front Public Health  ·  14.08.2026  ·  PMID 42666356</w:t>
      </w:r>
    </w:p>
    <w:p>
      <w:r>
        <w:t>Maschinelles Lernen zur Vorhersage von DRG-bedingtem finanziellem Risiko bei kolorektalen Krebsoperationen mit Integration in Point-of-Care-Entscheidungsunterstützung.</w:t>
      </w:r>
    </w:p>
    <w:p>
      <w:r>
        <w:rPr>
          <w:b/>
        </w:rPr>
        <w:t xml:space="preserve">Ergebnis: </w:t>
      </w:r>
      <w:r>
        <w:t>Random-Forest-Modell erreichte AUROC 0,852 im Derivationscohort (n=2081) und 38,4% Patienten überschritten DRG-Benchmark. SHAP-Analyse identifizierte chirurgischer Zugang, postoperative Komplikationen, Liegedauer und Komorbiditätslast als Haupttreiber. Web-basiertes Tool zur individualisierten Risikovorhersage wurde prospektiv evaluiert (n=12 Patienten), Kalibrierungsplot und Entscheidungskurve zeigten klinischen Nutzen.</w:t>
      </w:r>
    </w:p>
    <w:p>
      <w:r>
        <w:rPr>
          <w:b/>
          <w:sz w:val="19"/>
        </w:rPr>
        <w:t xml:space="preserve">Übertragbarkeit: </w:t>
      </w:r>
      <w:r>
        <w:rPr>
          <w:sz w:val="19"/>
        </w:rPr>
        <w:t>China, aber DRG-Finanzierung vergleichbar mit deutschen Pauschalsystemen, einsatzbar zur Ressourcenplanung.</w:t>
      </w:r>
    </w:p>
    <w:p>
      <w:r>
        <w:rPr>
          <w:color w:val="5A7D3A"/>
          <w:sz w:val="18"/>
        </w:rPr>
        <w:t>https://pubmed.ncbi.nlm.nih.gov/42666356/</w:t>
      </w:r>
    </w:p>
    <w:p>
      <w:pPr>
        <w:pStyle w:val="Heading2"/>
      </w:pPr>
      <w:r>
        <w:t>Deep Learning für automatische Konturierung in der Rektumkrebs-Strahlentherapie: longitudinale Wirksamkeit</w:t>
      </w:r>
    </w:p>
    <w:p>
      <w:r>
        <w:rPr>
          <w:i/>
          <w:color w:val="666666"/>
          <w:sz w:val="18"/>
        </w:rPr>
        <w:t>Wang N et al.  ·  J Appl Clin Med Phys  ·  Sept. 2026  ·  PMID 42665916</w:t>
      </w:r>
    </w:p>
    <w:p>
      <w:r>
        <w:t>Real-World-Analyse der klinischen Auswirkungen Implementierung und iterativen Updates eines Deep-Learning-Systems zur automatischen Zielvolumen- und Risikoorgankonturierung bei Rektumkrebspatienten (Kohorten: pre-Implementation n=50, post-Implementation n=50, post-Update n=50).</w:t>
      </w:r>
    </w:p>
    <w:p>
      <w:r>
        <w:rPr>
          <w:b/>
        </w:rPr>
        <w:t xml:space="preserve">Ergebnis: </w:t>
      </w:r>
      <w:r>
        <w:t>Nach System-Update verbesserten sich Dice-Koeffizienten: CTV von 0,88±0,04 auf 0,93±0,04 (p&lt;0,001), Risikoorgane von 0,88±0,05 auf 0,95±0,02 (p&lt;0,001). Fehlerquote sank um 80,6%. Auto2-assistierte Methode reduzierte Konturierungszeit um 58,8% gegenüber manuell, 21,9% gegenüber Auto1. 99,2% der überarbeiteten Konturen erhielten Likert-Score ≥4 von klinischen Experten.</w:t>
      </w:r>
    </w:p>
    <w:p>
      <w:r>
        <w:rPr>
          <w:b/>
          <w:sz w:val="19"/>
        </w:rPr>
        <w:t xml:space="preserve">Übertragbarkeit: </w:t>
      </w:r>
      <w:r>
        <w:rPr>
          <w:sz w:val="19"/>
        </w:rPr>
        <w:t>China/Pekinger Krebszentrum, aber Deep-Learning-Architektur und Workflow-Prinzipien auf europäische Zentren übertragbar.</w:t>
      </w:r>
    </w:p>
    <w:p>
      <w:r>
        <w:rPr>
          <w:color w:val="5A7D3A"/>
          <w:sz w:val="18"/>
        </w:rPr>
        <w:t>https://pubmed.ncbi.nlm.nih.gov/42665916/</w:t>
      </w:r>
    </w:p>
    <w:p>
      <w:pPr>
        <w:pStyle w:val="Heading2"/>
      </w:pPr>
      <w:r>
        <w:t>Generative KI in der Physiotherapie-Lehre: Nutzung, Haltungen und KI-Literalität</w:t>
      </w:r>
    </w:p>
    <w:p>
      <w:r>
        <w:rPr>
          <w:i/>
          <w:color w:val="666666"/>
          <w:sz w:val="18"/>
        </w:rPr>
        <w:t>Schröder K et al.  ·  BMC Med Educ  ·  28.08.2026  ·  PMID 42665827</w:t>
      </w:r>
    </w:p>
    <w:p>
      <w:r>
        <w:t>Wiederholte Querschnittsbefragung von Physiotherapiestudieren an schwedischer Universität zu Gebrauch und Wahrnehmung von generativen KI-Tools nach curricularen Anpassungen in 2024–2025.</w:t>
      </w:r>
    </w:p>
    <w:p>
      <w:r>
        <w:rPr>
          <w:b/>
        </w:rPr>
        <w:t xml:space="preserve">Ergebnis: </w:t>
      </w:r>
      <w:r>
        <w:t>Täglicher KI-Gebrauch stieg von 13% (2024) auf 57% (2025), p&lt;0,001. Diverse Nutzung (Brainstorming, Textverfeinerung) nahm signifikant zu. KI-Literacy-Scores (GAILS-10) waren nach strukturiertem Training deutlich höher (Cohens d=1,0 zwischen Semester 1 und Semester 3), was Unterschiede in Lehrerfolg und Kompetenzentwicklung belegt.</w:t>
      </w:r>
    </w:p>
    <w:p>
      <w:r>
        <w:rPr>
          <w:b/>
          <w:sz w:val="19"/>
        </w:rPr>
        <w:t xml:space="preserve">Übertragbarkeit: </w:t>
      </w:r>
      <w:r>
        <w:rPr>
          <w:sz w:val="19"/>
        </w:rPr>
        <w:t>Schweden, digitaler Reifungsgrad höher als Deutschland, aber Konzept der strukturierten KI-Literalität-Integration übertragbar.</w:t>
      </w:r>
    </w:p>
    <w:p>
      <w:r>
        <w:rPr>
          <w:color w:val="5A7D3A"/>
          <w:sz w:val="18"/>
        </w:rPr>
        <w:t>https://pubmed.ncbi.nlm.nih.gov/42665827/</w:t>
      </w:r>
    </w:p>
    <w:p>
      <w:pPr>
        <w:pStyle w:val="Heading2"/>
      </w:pPr>
      <w:r>
        <w:t>Machine Learning zur Früherkennung von akutem Nierenschaden nach Nicht-Kardiochirurgie</w:t>
      </w:r>
    </w:p>
    <w:p>
      <w:r>
        <w:rPr>
          <w:i/>
          <w:color w:val="666666"/>
          <w:sz w:val="18"/>
        </w:rPr>
        <w:t>Leins J et al.  ·  Sci Rep  ·  18.08.2026  ·  PMID 42613359</w:t>
      </w:r>
    </w:p>
    <w:p>
      <w:r>
        <w:t>Vorhersage postoperativen akuten Nierenschadens (PO-AKI) nach Nicht-Kardio-Operationen mit acht ML-Algorithmen auf großem EHR-Datensatz (n=13.890, 12,37% mit PO-AKI).</w:t>
      </w:r>
    </w:p>
    <w:p>
      <w:r>
        <w:rPr>
          <w:b/>
        </w:rPr>
        <w:t xml:space="preserve">Ergebnis: </w:t>
      </w:r>
      <w:r>
        <w:t>Random-Forest-Klassifikator erzielte bestes ROC-AUC von 0,742 (95% CI 0,725–0,762). Prädiktoren: 62 pre-, intra- und postoperative Merkmale einschließlich Blutdruckverlauf. Modellperformance verbesserte sich von präoperativ ROC-AUC 0,722 auf postoperativ 0,738. Feature-Importance variierte zwischen Ensemble- und Nicht-Ensemble-Modellen erheblich.</w:t>
      </w:r>
    </w:p>
    <w:p>
      <w:r>
        <w:rPr>
          <w:b/>
          <w:sz w:val="19"/>
        </w:rPr>
        <w:t xml:space="preserve">Übertragbarkeit: </w:t>
      </w:r>
      <w:r>
        <w:rPr>
          <w:sz w:val="19"/>
        </w:rPr>
        <w:t>Deutschland, Hannover Medical School, deutsche EHR-Daten, vergleichbare Dokumentationspflichten und Patientenkohorte.</w:t>
      </w:r>
    </w:p>
    <w:p>
      <w:r>
        <w:rPr>
          <w:color w:val="5A7D3A"/>
          <w:sz w:val="18"/>
        </w:rPr>
        <w:t>https://pubmed.ncbi.nlm.nih.gov/42613359/</w:t>
      </w:r>
    </w:p>
    <w:p>
      <w:pPr>
        <w:pStyle w:val="Heading2"/>
      </w:pPr>
      <w:r>
        <w:t>LLM-gestützte Sprachanalyse in der Depressionsdiagnose: multilinguale Vier-Kohorten-Studie</w:t>
      </w:r>
    </w:p>
    <w:p>
      <w:r>
        <w:rPr>
          <w:i/>
          <w:color w:val="666666"/>
          <w:sz w:val="18"/>
        </w:rPr>
        <w:t>Cortal G et al.  ·  JMIR Ment Health  ·  17.08.2026  ·  PMID 42607290</w:t>
      </w:r>
    </w:p>
    <w:p>
      <w:r>
        <w:t>Unsupervised Clustering von Spontansprach-Transkripten mit multilingualem Language Model und Dichte-Clusterung zur Assoziation mit klinischen Depressions-Skalen über vier unabhängige Kohorten (Frankreich n=1338, Italien n=116, China n=52, Spanien n=90).</w:t>
      </w:r>
    </w:p>
    <w:p>
      <w:r>
        <w:rPr>
          <w:b/>
        </w:rPr>
        <w:t xml:space="preserve">Ergebnis: </w:t>
      </w:r>
      <w:r>
        <w:t>In französischer Allgemeinbevölkerung unterschieden sich PHQ-9-Scores zwischen Clustern (η²=0,19, p&lt;0,001), ebenso Angst (GAD-7), Insomnie (AIS) und Müdigkeit (MFI) (η²=0,14-0,16, p&lt;0,001). In italienischer Stichprobe war Cluster-Zugehörigkeit mit klinisch diagnostizierter Depression assoziiert (Cramér V=0,74, p&lt;0,001), in chinesischer mit MDD-Diagnose (V=0,55, p=0,001). LLM-generierte Cluster-Beschreibungen waren klinisch interpretierbar.</w:t>
      </w:r>
    </w:p>
    <w:p>
      <w:r>
        <w:rPr>
          <w:b/>
          <w:sz w:val="19"/>
        </w:rPr>
        <w:t xml:space="preserve">Übertragbarkeit: </w:t>
      </w:r>
      <w:r>
        <w:rPr>
          <w:sz w:val="19"/>
        </w:rPr>
        <w:t>Multinationale Validierung, romanische und asiatische Sprachen, Methodik auf deutschsprachige Kohorten übertragbar.</w:t>
      </w:r>
    </w:p>
    <w:p>
      <w:r>
        <w:rPr>
          <w:color w:val="5A7D3A"/>
          <w:sz w:val="18"/>
        </w:rPr>
        <w:t>https://pubmed.ncbi.nlm.nih.gov/42607290/</w:t>
      </w:r>
    </w:p>
    <w:p>
      <w:pPr>
        <w:pStyle w:val="Heading1"/>
      </w:pPr>
      <w:r>
        <w:t>Aufgenommen am 30.08.2026</w:t>
      </w:r>
    </w:p>
    <w:p>
      <w:pPr>
        <w:pStyle w:val="Heading2"/>
      </w:pPr>
      <w:r>
        <w:t>Künstliche Intelligenz in Prävention von Typ-2-Diabetes: Screening, Risikoprognose und digitale Interventionen</w:t>
      </w:r>
    </w:p>
    <w:p>
      <w:r>
        <w:rPr>
          <w:i/>
          <w:color w:val="666666"/>
          <w:sz w:val="18"/>
        </w:rPr>
        <w:t>Chen R et al.  ·  Front Endocrinol (Lausanne)  ·  14.08.2026  ·  PMID 42666695</w:t>
      </w:r>
    </w:p>
    <w:p>
      <w:r>
        <w:t>Narrative systematische Übersichtsarbeit von 2010-2026, die KI-gestützte Ansätze zur Prädiabetes-Früherkennung, Progressionsrisiko-Vorhersage und digitale Lebensstiländerungen untersucht; Bewertung externer Validierung und Versorgungsintegrierbarkeit.</w:t>
      </w:r>
    </w:p>
    <w:p>
      <w:r>
        <w:rPr>
          <w:b/>
        </w:rPr>
        <w:t xml:space="preserve">Ergebnis: </w:t>
      </w:r>
      <w:r>
        <w:t>KI-Modelle übertreffen traditionelle Risikoscores durch Integration von klinischen Daten, EHR-Längsschnitten, kontinuierlicher Glukoseüberwachung, tragbaren Signalen und Biomarkern. Einige extern validierte Modelle zeigen klinisch relevante Diskriminationskraft für Hochrisiko-Patienten. Digitale Programme (Apps, Web, tragbar) fördern Verhaltensänderung und reduzieren Abhängigkeit von intensiven Beratungen. Limits: Heterogenität der Prädiabetes-Definitionen, begrenzte externe Validierung in diversen Populationen, ungeklärte Langzeiteffektivität, Datenschutz und Governance-Lücken.</w:t>
      </w:r>
    </w:p>
    <w:p>
      <w:r>
        <w:rPr>
          <w:b/>
          <w:sz w:val="19"/>
        </w:rPr>
        <w:t xml:space="preserve">Übertragbarkeit: </w:t>
      </w:r>
      <w:r>
        <w:rPr>
          <w:sz w:val="19"/>
        </w:rPr>
        <w:t>Narrative Übersicht, Konzepte auf Deutschland übertragbar, externe Validierung in europäischen Kohorten erforderlich</w:t>
      </w:r>
    </w:p>
    <w:p>
      <w:r>
        <w:rPr>
          <w:color w:val="5A7D3A"/>
          <w:sz w:val="18"/>
        </w:rPr>
        <w:t>https://pubmed.ncbi.nlm.nih.gov/42666695/</w:t>
      </w:r>
    </w:p>
    <w:p>
      <w:pPr>
        <w:pStyle w:val="Heading2"/>
      </w:pPr>
      <w:r>
        <w:t>Large Language Models in der klinischen Pflege: Nutzungsabsichten und Grenzen</w:t>
      </w:r>
    </w:p>
    <w:p>
      <w:r>
        <w:rPr>
          <w:i/>
          <w:color w:val="666666"/>
          <w:sz w:val="18"/>
        </w:rPr>
        <w:t>Li X et al.  ·  J Nurs Manag  ·  2026  ·  PMID 42666072</w:t>
      </w:r>
    </w:p>
    <w:p>
      <w:r>
        <w:t>Qualitative Studie mit 17 klinischen Pflegekräften aus verschiedenen Krankenhausebenen zur Untersuchung der Absicht, LLMs (ChatGPT, Claude) zu nutzen; thematische Analyse der Facilitators, Constraints, Risiken und professionellen Grenzen nach UTAUT-Modell.</w:t>
      </w:r>
    </w:p>
    <w:p>
      <w:r>
        <w:rPr>
          <w:b/>
        </w:rPr>
        <w:t xml:space="preserve">Ergebnis: </w:t>
      </w:r>
      <w:r>
        <w:t>Sechste Themen identifiziert: Performance Expectancy, Effort Expectancy, Social Influence, Facilitating Conditions, Perceived Risk, Professional Boundaries. Teilnehmer äußerten positive, aber konditionale Nutzungsabsicht. Potenzielle Unterstützung für standardisierte, niedrig-risiko Aufgaben (Dokumentation, Wissensvermittlung). Vorsicht: LLMs sollten ärztliche Urteilskraft, klinische Verantwortung und humanistische Kommunikation nicht ersetzen. Datenicherheit und Rechenschaftspflicht betont.</w:t>
      </w:r>
    </w:p>
    <w:p>
      <w:r>
        <w:rPr>
          <w:b/>
          <w:sz w:val="19"/>
        </w:rPr>
        <w:t xml:space="preserve">Übertragbarkeit: </w:t>
      </w:r>
      <w:r>
        <w:rPr>
          <w:sz w:val="19"/>
        </w:rPr>
        <w:t>China – vergleichbare Pflegekontexte, länderneutrales Fachverhalten</w:t>
      </w:r>
    </w:p>
    <w:p>
      <w:r>
        <w:rPr>
          <w:color w:val="5A7D3A"/>
          <w:sz w:val="18"/>
        </w:rPr>
        <w:t>https://pubmed.ncbi.nlm.nih.gov/42666072/</w:t>
      </w:r>
    </w:p>
    <w:p>
      <w:pPr>
        <w:pStyle w:val="Heading2"/>
      </w:pPr>
      <w:r>
        <w:t>KI-Chatbots bei bipolarer Störung: Vertrauensverlagerung und klinische Risiken</w:t>
      </w:r>
    </w:p>
    <w:p>
      <w:r>
        <w:rPr>
          <w:i/>
          <w:color w:val="666666"/>
          <w:sz w:val="18"/>
        </w:rPr>
        <w:t>Bassil K et al.  ·  Bipolar Disord  ·  Sept. 2026  ·  PMID 42657654</w:t>
      </w:r>
    </w:p>
    <w:p>
      <w:r>
        <w:t>Qualitative Studie mit zwei Patienten mit bipolarer Störung, die ChatGPT zur Selbstreflexion und psychischen Unterstützung nutzten; Interviews dokumentierten Nutzungsmuster, wahrgenommene Vorteile und Risiken der Vertrauensverlagerung von Fachleuten zu KI.</w:t>
      </w:r>
    </w:p>
    <w:p>
      <w:r>
        <w:rPr>
          <w:b/>
        </w:rPr>
        <w:t xml:space="preserve">Ergebnis: </w:t>
      </w:r>
      <w:r>
        <w:t>Beide Patienten nutzten ChatGPT für emotionale und soziale Unterstützung; ein Patient entwickelte emotionale Intimität zur KI, während der andere reflektiertes, intellektualisiertes Engagement zeigte. Wahrgenommene Vorteile: Nichturteilende Unterstützung, bessere Erreichbarkeit als professionelle Betreuung. Risiken: Überabhängigkeit, verminderte Vertrauensfähigkeit in Kliniker, Unkenntnis von KI-Limitationen. Die Studie warnt vor der Vermischung klinischer Rollen und unzureichender Aufklärung über KI-Grenzen.</w:t>
      </w:r>
    </w:p>
    <w:p>
      <w:r>
        <w:rPr>
          <w:b/>
          <w:sz w:val="19"/>
        </w:rPr>
        <w:t xml:space="preserve">Übertragbarkeit: </w:t>
      </w:r>
      <w:r>
        <w:rPr>
          <w:sz w:val="19"/>
        </w:rPr>
        <w:t>Niederlande – vergleichbares Gesundheitssystem, direkt übertragbare ethische und klinische Bedenken</w:t>
      </w:r>
    </w:p>
    <w:p>
      <w:r>
        <w:rPr>
          <w:color w:val="5A7D3A"/>
          <w:sz w:val="18"/>
        </w:rPr>
        <w:t>https://pubmed.ncbi.nlm.nih.gov/42657654/</w:t>
      </w:r>
    </w:p>
    <w:p>
      <w:pPr>
        <w:pStyle w:val="Heading2"/>
      </w:pPr>
      <w:r>
        <w:t>ChatGPT-4o und ChatGPT-5 zur Diagnose oraler Schleimhautläsionen: Klinische Leistung</w:t>
      </w:r>
    </w:p>
    <w:p>
      <w:r>
        <w:rPr>
          <w:i/>
          <w:color w:val="666666"/>
          <w:sz w:val="18"/>
        </w:rPr>
        <w:t>Glavina A et al.  ·  Medicina (Kaunas)  ·  21.08.2026  ·  PMID 42654507</w:t>
      </w:r>
    </w:p>
    <w:p>
      <w:r>
        <w:t>Prospektive Studie mit 70 Patienten (21 normal anatomische Varianten, 49 pathologische Läsionen) zur Bewertung der diagnostischen Genauigkeit von ChatGPT-4o und ChatGPT-5 bei der Identifikation oraler Läsionen basierend auf klinischen Fotografien.</w:t>
      </w:r>
    </w:p>
    <w:p>
      <w:r>
        <w:rPr>
          <w:b/>
        </w:rPr>
        <w:t xml:space="preserve">Ergebnis: </w:t>
      </w:r>
      <w:r>
        <w:t>Mit Bild allein: ChatGPT-4o 19,0%, ChatGPT-5 9,0% Top-1-Genauigkeit. Mit Bild plus klinischer Information: ChatGPT-4o 69,0%, ChatGPT-5 51,0%. Für normale Varianten (Bild+Text): ChatGPT-4o 81,0%, ChatGPT-5 76,2%. Für pathologische Läsionen: ChatGPT-4o 63,3%, ChatGPT-5 40,8%. Beide Modelle können klinische Diagnose nicht ersetzen; als Entscheidungsunterstützungstool bei strukturierter Information möglich.</w:t>
      </w:r>
    </w:p>
    <w:p>
      <w:r>
        <w:rPr>
          <w:b/>
          <w:sz w:val="19"/>
        </w:rPr>
        <w:t xml:space="preserve">Übertragbarkeit: </w:t>
      </w:r>
      <w:r>
        <w:rPr>
          <w:sz w:val="19"/>
        </w:rPr>
        <w:t>Kroatien – EU-Regulierungskontext, vergleichbare zahnmedizinische Versorgung</w:t>
      </w:r>
    </w:p>
    <w:p>
      <w:r>
        <w:rPr>
          <w:color w:val="5A7D3A"/>
          <w:sz w:val="18"/>
        </w:rPr>
        <w:t>https://pubmed.ncbi.nlm.nih.gov/42654507/</w:t>
      </w:r>
    </w:p>
    <w:p>
      <w:pPr>
        <w:pStyle w:val="Heading2"/>
      </w:pPr>
      <w:r>
        <w:t>Zeno AI zur Echtzeit-Risikoklassifizierung von Stimmlippenläsionen in Laryngoskopie</w:t>
      </w:r>
    </w:p>
    <w:p>
      <w:r>
        <w:rPr>
          <w:i/>
          <w:color w:val="666666"/>
          <w:sz w:val="18"/>
        </w:rPr>
        <w:t>Kränzlein J et al.  ·  Med Sci (Basel)  ·  06.08.2026  ·  PMID 42646592</w:t>
      </w:r>
    </w:p>
    <w:p>
      <w:r>
        <w:t>Prospektive Single-Center-Studie mit 109 Patienten zur Validierung des CE-MDR-zertifizierten Systems Zeno AI im Schattenmodus während strukturierter flexibler Laryngoskopie; Vergleich mit Expertenurteil und Histopathologie bei operierten Patienten (n=36).</w:t>
      </w:r>
    </w:p>
    <w:p>
      <w:r>
        <w:rPr>
          <w:b/>
        </w:rPr>
        <w:t xml:space="preserve">Ergebnis: </w:t>
      </w:r>
      <w:r>
        <w:t>AI und Expertenurteil stimmten in 99/103 interpretierbaren Fällen überein (96,1%, κ=0,927). Gegenüber Histopathologie (36 Patienten): Sensitivität 88,9%, Spezifität 92,6%, PPV 80,0%, NPV 96,2%. Bei definitiven AI-Outputs (sekundäre Analyse): Sensitivität 100%, Spezifität 91,7%. Unsichere Outputs (n=6) erforderten Expertenbeurteilung. Keine Malignität als benigne klassifiziert; ein Fall mit Dysplasie als unsicher. Histopathologie bleibt Standard für definitive Diagnose.</w:t>
      </w:r>
    </w:p>
    <w:p>
      <w:r>
        <w:rPr>
          <w:b/>
          <w:sz w:val="19"/>
        </w:rPr>
        <w:t xml:space="preserve">Übertragbarkeit: </w:t>
      </w:r>
      <w:r>
        <w:rPr>
          <w:sz w:val="19"/>
        </w:rPr>
        <w:t>Deutschland – deutsche Kliniken, vergleichbare Dokumentations- und Zulassungsstandards</w:t>
      </w:r>
    </w:p>
    <w:p>
      <w:r>
        <w:rPr>
          <w:color w:val="5A7D3A"/>
          <w:sz w:val="18"/>
        </w:rPr>
        <w:t>https://pubmed.ncbi.nlm.nih.gov/42646592/</w:t>
      </w:r>
    </w:p>
    <w:p>
      <w:pPr>
        <w:pStyle w:val="Heading2"/>
      </w:pPr>
      <w:r>
        <w:t>Machine-Learning-Modell zur Vorhersage von Krebsrisiko bei Herz-Nieren-Metabolik-Syndrom</w:t>
      </w:r>
    </w:p>
    <w:p>
      <w:r>
        <w:rPr>
          <w:i/>
          <w:color w:val="666666"/>
          <w:sz w:val="18"/>
        </w:rPr>
        <w:t>He X et al.  ·  Front Endocrinol (Lausanne)  ·  03.08.2026  ·  PMID 42609333</w:t>
      </w:r>
    </w:p>
    <w:p>
      <w:r>
        <w:t>Prospektive Kohortenstudie mit 399.034 UK-Biobank-Teilnehmern zur Evaluation von Herz-Nieren-Metabolik(CKM)-Stadium und genetischer Suszeptibilität (Polygenic Risk Score) für Krebsinzidenz; acht ML-Modelle für Risikostratifizierung entwickelt.</w:t>
      </w:r>
    </w:p>
    <w:p>
      <w:r>
        <w:rPr>
          <w:b/>
        </w:rPr>
        <w:t xml:space="preserve">Ergebnis: </w:t>
      </w:r>
      <w:r>
        <w:t>Über Median-Follow-up von 13,7 Jahren: 48.247 Krebsfälle. Hazard Ratios für CKM-Stadium 0-4: 1,0 (Referenz), 1,01, 1,21, 2,17. Mit hohem genetischen Risiko und fortgeschrittenem CKM: HR 3,24 (95%-CI 2,68-3,93). Bestes Modell (GBM): Test-AUC 0,801. Web-basierter Rechner für individualisierte Risikoprognose. Nichtlineare Assoziationen für diastolischer RR, Neutrophilenzahl, alkalische Phosphatase, TyG-BMI. Gesamtbilirubin medierte 44,45% der Assoziation.</w:t>
      </w:r>
    </w:p>
    <w:p>
      <w:r>
        <w:rPr>
          <w:b/>
          <w:sz w:val="19"/>
        </w:rPr>
        <w:t xml:space="preserve">Übertragbarkeit: </w:t>
      </w:r>
      <w:r>
        <w:rPr>
          <w:sz w:val="19"/>
        </w:rPr>
        <w:t>UK-Daten, generalisierbar auf europäische Bevölkerungen mit ähnlichen Risikofaktoren</w:t>
      </w:r>
    </w:p>
    <w:p>
      <w:r>
        <w:rPr>
          <w:color w:val="5A7D3A"/>
          <w:sz w:val="18"/>
        </w:rPr>
        <w:t>https://pubmed.ncbi.nlm.nih.gov/42609333/</w:t>
      </w:r>
    </w:p>
    <w:p>
      <w:pPr>
        <w:pStyle w:val="Heading2"/>
      </w:pPr>
      <w:r>
        <w:t>Deep-Learning-gestützte MRT-Navigation für fokale Prostata-Seed-Brachytherapie: Workflow-Validierung</w:t>
      </w:r>
    </w:p>
    <w:p>
      <w:r>
        <w:rPr>
          <w:i/>
          <w:color w:val="666666"/>
          <w:sz w:val="18"/>
        </w:rPr>
        <w:t>Aumueller P et al.  ·  J Appl Clin Med Phys  ·  Aug. 2026  ·  PMID 42605022</w:t>
      </w:r>
    </w:p>
    <w:p>
      <w:r>
        <w:t>Machbarkeitsstudie zum Einsatz des ferngesteuerten, MRT-kompatiblen Robotersystems RCM für transrektale, MRT-gelenkte fokale Prostataimplantation; Phantom-Experimente zur Quantifizierung der Präzision und dosimetrischen Auswirkungen.</w:t>
      </w:r>
    </w:p>
    <w:p>
      <w:r>
        <w:rPr>
          <w:b/>
        </w:rPr>
        <w:t xml:space="preserve">Ergebnis: </w:t>
      </w:r>
      <w:r>
        <w:t>Robotische Ausrichtung: mittlere erwartete Samenablage-Verschiebung 0,6±0,2 mm. Gesamtabweichung geplante zu freigesetzte Positionen: 2,6±0,9 mm, mit 0,7±0,4 mm Versatz entlang der Trajektorie. MRT-only-Seed-Registrierung: Unterschied zu CT-verifizierten Positionen 2,8±1,4 mm. Nach zwei freigesetzten Nadeln: V100%-Dosisabdeckung fiel von 100% auf 92,9% (MRT-only) bzw. 85,7% (CT-verifiziert). Sub-Millimeter-Robotergenauigkeit demonstriert; Samenfreisetzung und MRT-Bildgebungs-Limitationen bleiben Fehlerquellen.</w:t>
      </w:r>
    </w:p>
    <w:p>
      <w:r>
        <w:rPr>
          <w:b/>
          <w:sz w:val="19"/>
        </w:rPr>
        <w:t xml:space="preserve">Übertragbarkeit: </w:t>
      </w:r>
      <w:r>
        <w:rPr>
          <w:sz w:val="19"/>
        </w:rPr>
        <w:t>Deutschland – deutsche Universitätskliniken, vergleichbare Radiotherapie-Standards</w:t>
      </w:r>
    </w:p>
    <w:p>
      <w:r>
        <w:rPr>
          <w:color w:val="5A7D3A"/>
          <w:sz w:val="18"/>
        </w:rPr>
        <w:t>https://pubmed.ncbi.nlm.nih.gov/42605022/</w:t>
      </w:r>
    </w:p>
    <w:p>
      <w:pPr>
        <w:pStyle w:val="Heading1"/>
      </w:pPr>
      <w:r>
        <w:t>Aufgenommen am 29.08.2026</w:t>
      </w:r>
    </w:p>
    <w:p>
      <w:pPr>
        <w:pStyle w:val="Heading2"/>
      </w:pPr>
      <w:r>
        <w:t>Speech-basierte Rückfallvorhersage bei Psychose mittels erklärbarer KI: TRUSTING-Protokoll</w:t>
      </w:r>
    </w:p>
    <w:p>
      <w:r>
        <w:rPr>
          <w:i/>
          <w:color w:val="666666"/>
          <w:sz w:val="18"/>
        </w:rPr>
        <w:t>Hüppi RM et al.  ·  BMJ Open  ·  28.08.2026  ·  PMID 42665342</w:t>
      </w:r>
    </w:p>
    <w:p>
      <w:r>
        <w:t>Studienprotokoll für prospektive multinationale Beobachtungsstudie zur Evaluation sprach-basierter KI-gestützter Früherkennung psychotischer Rückfälle über 6 Monate bei 240 Patienten und 120 Kontrollen an 6 europäischen Standorten.</w:t>
      </w:r>
    </w:p>
    <w:p>
      <w:r>
        <w:rPr>
          <w:b/>
        </w:rPr>
        <w:t xml:space="preserve">Ergebnis: </w:t>
      </w:r>
      <w:r>
        <w:t>Primäre Endpunkte umfassen Modell-Performance (AUC für Rückfallvorhersage), Nutzer-Adhärenz, Transkriptionsqualität und System-Usability. Study läuft noch; es wird berichtet, welche Adhärenz- und Usability-Proportionen (95% Wilson-CI) sowie AUC für Rückfallvorhersage erwartet werden. Protokoll prospektiv registriert (NCT07397975).</w:t>
      </w:r>
    </w:p>
    <w:p>
      <w:r>
        <w:rPr>
          <w:b/>
          <w:sz w:val="19"/>
        </w:rPr>
        <w:t xml:space="preserve">Übertragbarkeit: </w:t>
      </w:r>
      <w:r>
        <w:rPr>
          <w:sz w:val="19"/>
        </w:rPr>
        <w:t>Multizentrisch europäisch (Schweiz, Niederlande, Deutschland, Tschechien, Türkei), prospektives Design, vergleichbare Versorgungssysteme</w:t>
      </w:r>
    </w:p>
    <w:p>
      <w:r>
        <w:rPr>
          <w:color w:val="5A7D3A"/>
          <w:sz w:val="18"/>
        </w:rPr>
        <w:t>https://pubmed.ncbi.nlm.nih.gov/42665342/</w:t>
      </w:r>
    </w:p>
    <w:p>
      <w:pPr>
        <w:pStyle w:val="Heading2"/>
      </w:pPr>
      <w:r>
        <w:t>Reduktion von Reibung in pädiatrischen EHR-Systemen durch Präpopulation von Ordnungsoptionen</w:t>
      </w:r>
    </w:p>
    <w:p>
      <w:r>
        <w:rPr>
          <w:i/>
          <w:color w:val="666666"/>
          <w:sz w:val="18"/>
        </w:rPr>
        <w:t>Bennett B et al.  ·  Appl Clin Inform  ·  28.08.2026  ·  PMID 42665259</w:t>
      </w:r>
    </w:p>
    <w:p>
      <w:r>
        <w:t>Quasi-experimentelle Pre-Post-Analyse zur Reduktion der Bestellreibung (Order Friction) in pädiatrischen Medikamentenordnungen durch Präpopulation von Dossierungen und klinischen Indikationen in Epic EHR.</w:t>
      </w:r>
    </w:p>
    <w:p>
      <w:r>
        <w:rPr>
          <w:b/>
        </w:rPr>
        <w:t xml:space="preserve">Ergebnis: </w:t>
      </w:r>
      <w:r>
        <w:t>Mittlere Änderungen pro Ordnung (CPO) sanken bei 22 gepaarten Ordnungstypen von 3,20 (IQR 2,41–3,68) auf 0,39 (IQR 0,18–1,04; p&lt;0,001). Bei Systemebene: volumenwichteter CPO sank von 3,06 auf 2,72, während Adoptionsrate der optimierten Liste von 9,6% auf 15,8% stieg. Mediane Reduktion: 87,8% der Order-Manipulationen.</w:t>
      </w:r>
    </w:p>
    <w:p>
      <w:r>
        <w:rPr>
          <w:b/>
          <w:sz w:val="19"/>
        </w:rPr>
        <w:t xml:space="preserve">Übertragbarkeit: </w:t>
      </w:r>
      <w:r>
        <w:rPr>
          <w:sz w:val="19"/>
        </w:rPr>
        <w:t>USA-Studie (Epic Systems), methodisch aber auf jede EHR-Umgebung übertragbar</w:t>
      </w:r>
    </w:p>
    <w:p>
      <w:r>
        <w:rPr>
          <w:color w:val="5A7D3A"/>
          <w:sz w:val="18"/>
        </w:rPr>
        <w:t>https://pubmed.ncbi.nlm.nih.gov/42665259/</w:t>
      </w:r>
    </w:p>
    <w:p>
      <w:pPr>
        <w:pStyle w:val="Heading2"/>
      </w:pPr>
      <w:r>
        <w:t>Grenzen von Sicherheitsklassifikationssystemen für Zwischenfälle in der Gesundheits-IT</w:t>
      </w:r>
    </w:p>
    <w:p>
      <w:r>
        <w:rPr>
          <w:i/>
          <w:color w:val="666666"/>
          <w:sz w:val="18"/>
        </w:rPr>
        <w:t>Jabin MSR  ·  JMIR Hum Factors  ·  28.08.2026  ·  PMID 42664497</w:t>
      </w:r>
    </w:p>
    <w:p>
      <w:r>
        <w:t>Conceptual Analysis zu Herausforderungen beim Klassifizieren von Health IT-bezogenen Patientensicherheits-Zwischenfällen und deren Begrenzungen als Wissenskonstrukt.</w:t>
      </w:r>
    </w:p>
    <w:p>
      <w:r>
        <w:rPr>
          <w:b/>
        </w:rPr>
        <w:t xml:space="preserve">Ergebnis: </w:t>
      </w:r>
      <w:r>
        <w:t>Vier rekurrente Repräsentationsprobleme identifiziert: Fragmentierung soziotechnischer Interaktionen, Verlust von Temporalität und Prozessevolution, unzureichende Darstellung von Skalierung und systemübergreifender Ausbreitung, Normalisierung von ‚Anwenderfehler'. Argument: Klassifikationen sind unverzichtbar für Surveillance und Governance, aber ihre Limits müssen anerkannt werden; komplementäre sociotechnical approaches nötig.</w:t>
      </w:r>
    </w:p>
    <w:p>
      <w:r>
        <w:rPr>
          <w:b/>
          <w:sz w:val="19"/>
        </w:rPr>
        <w:t xml:space="preserve">Übertragbarkeit: </w:t>
      </w:r>
      <w:r>
        <w:rPr>
          <w:sz w:val="19"/>
        </w:rPr>
        <w:t>Schweden/UK autorin, konzeptioneller Beitrag zu HIT-Sicherheit, systemisch übertragbar</w:t>
      </w:r>
    </w:p>
    <w:p>
      <w:r>
        <w:rPr>
          <w:color w:val="5A7D3A"/>
          <w:sz w:val="18"/>
        </w:rPr>
        <w:t>https://pubmed.ncbi.nlm.nih.gov/42664497/</w:t>
      </w:r>
    </w:p>
    <w:p>
      <w:pPr>
        <w:pStyle w:val="Heading2"/>
      </w:pPr>
      <w:r>
        <w:t>Machine Learning zur Identifikation von Internet-Addiction und kognitiver Emotionsregulation bei älteren Erwachsenen</w:t>
      </w:r>
    </w:p>
    <w:p>
      <w:r>
        <w:rPr>
          <w:i/>
          <w:color w:val="666666"/>
          <w:sz w:val="18"/>
        </w:rPr>
        <w:t>Gui J et al.  ·  Front Public Health  ·  13.08.2026  ·  PMID 42661909</w:t>
      </w:r>
    </w:p>
    <w:p>
      <w:r>
        <w:t>Cross-sectionale Studie mit Machine-Learning-Klassifikatoren zur Vorhersage von co-auftretender Internet-Addiction und maladaptiver kognitiver Emotionsregulation bei 1.471 Erwachsenen ≥60 Jahren in China mittels demografischen, sozialen und psychosozialen Prädiktoren.</w:t>
      </w:r>
    </w:p>
    <w:p>
      <w:r>
        <w:rPr>
          <w:b/>
        </w:rPr>
        <w:t xml:space="preserve">Ergebnis: </w:t>
      </w:r>
      <w:r>
        <w:t>Gradient Boosting Machine zeigte beste Performance mit AUROC 0,904, Genauigkeit 0,816, Sensitivität 0,810, Spezifität 0,818. SHAP-Analyse identifizierte allgemeines Wohlbefinden als dominantester Prädiktor, gefolgt von Bildungsgrad und objektivem Support. 8 Prädiktoren beibehalten; Modell unterscheidet aktuellen co-occurrence-Status, keine Prognose.</w:t>
      </w:r>
    </w:p>
    <w:p>
      <w:r>
        <w:rPr>
          <w:b/>
          <w:sz w:val="19"/>
        </w:rPr>
        <w:t xml:space="preserve">Übertragbarkeit: </w:t>
      </w:r>
      <w:r>
        <w:rPr>
          <w:sz w:val="19"/>
        </w:rPr>
        <w:t>China, Originaldata, querschnittlich, aber Prädiktoren sind strukturübergreifend</w:t>
      </w:r>
    </w:p>
    <w:p>
      <w:r>
        <w:rPr>
          <w:color w:val="5A7D3A"/>
          <w:sz w:val="18"/>
        </w:rPr>
        <w:t>https://pubmed.ncbi.nlm.nih.gov/42661909/</w:t>
      </w:r>
    </w:p>
    <w:p>
      <w:pPr>
        <w:pStyle w:val="Heading2"/>
      </w:pPr>
      <w:r>
        <w:t>Real-World-Digital-Health-Technologien zur Erfassung und Vorhersage von Toxizität bei hämatologischen Malignomen</w:t>
      </w:r>
    </w:p>
    <w:p>
      <w:r>
        <w:rPr>
          <w:i/>
          <w:color w:val="666666"/>
          <w:sz w:val="18"/>
        </w:rPr>
        <w:t>El-Galaly TC et al.  ·  Lancet Haematol  ·  Sept. 2026  ·  PMID 42660134</w:t>
      </w:r>
    </w:p>
    <w:p>
      <w:r>
        <w:t>Narrative Review zu digitalen Gesundheitstechnologien (ePRO, Wearables, KI, Digital Twins, synthetische Daten) für Echtzeit-Erfassung und Vorhersage von Behandlungstoxizität bei hämatologischen Krebspatienten in der Versorgungspraxis.</w:t>
      </w:r>
    </w:p>
    <w:p>
      <w:r>
        <w:rPr>
          <w:b/>
        </w:rPr>
        <w:t xml:space="preserve">Ergebnis: </w:t>
      </w:r>
      <w:r>
        <w:t>DHTs können kontinuierliche, patientengenerierte Daten erfassen, die aktuelle post-marketing toxicity assessments nicht zuverlässig erfassen. KI und synthetische Daten ermöglichen Toxizitätsvorhersage in größerem Maßstab. Herausforderungen: Datenqualität, Interpretierbarkeit, Workflow-Integration, Datenschutz, Governance. Koentwicklung mit Patienten, Klinikern, Bezahlern und Regulatoren notwendig.</w:t>
      </w:r>
    </w:p>
    <w:p>
      <w:r>
        <w:rPr>
          <w:b/>
          <w:sz w:val="19"/>
        </w:rPr>
        <w:t xml:space="preserve">Übertragbarkeit: </w:t>
      </w:r>
      <w:r>
        <w:rPr>
          <w:sz w:val="19"/>
        </w:rPr>
        <w:t>Multi-autorengruppe Europa und Kanada, Position Paper, aber kein eigenes Ergebnis im Sinne einer Versorgungsevaluation</w:t>
      </w:r>
    </w:p>
    <w:p>
      <w:r>
        <w:rPr>
          <w:color w:val="5A7D3A"/>
          <w:sz w:val="18"/>
        </w:rPr>
        <w:t>https://pubmed.ncbi.nlm.nih.gov/42660134/</w:t>
      </w:r>
    </w:p>
    <w:p>
      <w:pPr>
        <w:pStyle w:val="Heading2"/>
      </w:pPr>
      <w:r>
        <w:t>KI-gestützte Kosteneinsparungen in UK- und australischen Gesundheitssystemen: Bayesische Analyse</w:t>
      </w:r>
    </w:p>
    <w:p>
      <w:r>
        <w:rPr>
          <w:i/>
          <w:color w:val="666666"/>
          <w:sz w:val="18"/>
        </w:rPr>
        <w:t>Sarkar J et al.  ·  JMIR Med Inform  ·  26.08.2026  ·  PMID 42647854</w:t>
      </w:r>
    </w:p>
    <w:p>
      <w:r>
        <w:t>Bayesische Budget-Impact-Analyse zur Schätzung von KI-bedingten Kosteneinsparungen in Radiologie, Workflow-Optimierung und Workforce-Optimierung unter Berücksichtigung von Einführungsrisiken und Effektivitätsungewissheit.</w:t>
      </w:r>
    </w:p>
    <w:p>
      <w:r>
        <w:rPr>
          <w:b/>
        </w:rPr>
        <w:t xml:space="preserve">Ergebnis: </w:t>
      </w:r>
      <w:r>
        <w:t>Geschätzte jährliche Bruttoeinsparungen: 949 Mio. US$ (UK, 95%-KI 720,6–1173,5) und 737 Mio. US$ (Australien, 95%-KI 526,1–953,6). Workforce-Optimierung lieferte größten Anteil (UK 62,4%, Australien 76,2%). Implementierungsrisiko 35,5–47,4% (unter vorherigen Annahmen). Baseline-Projektionen 2024–2030: 10,1 Mrd. US$ (UK), 8,0 Mrd. US$ (Australien).</w:t>
      </w:r>
    </w:p>
    <w:p>
      <w:r>
        <w:rPr>
          <w:b/>
          <w:sz w:val="19"/>
        </w:rPr>
        <w:t xml:space="preserve">Übertragbarkeit: </w:t>
      </w:r>
      <w:r>
        <w:rPr>
          <w:sz w:val="19"/>
        </w:rPr>
        <w:t>UK und Australien, vergleichbare Gesundheitssystemstrukturen, aber Einsparungen primär als Kapazitätsgewinne, nicht Cashflows</w:t>
      </w:r>
    </w:p>
    <w:p>
      <w:r>
        <w:rPr>
          <w:color w:val="5A7D3A"/>
          <w:sz w:val="18"/>
        </w:rPr>
        <w:t>https://pubmed.ncbi.nlm.nih.gov/42647854/</w:t>
      </w:r>
    </w:p>
    <w:p>
      <w:pPr>
        <w:pStyle w:val="Heading2"/>
      </w:pPr>
      <w:r>
        <w:t>KI-gestützte Lymphozytenquantifizierung bei Triple-negativem Brustkrebs: externe Validierungsstudie</w:t>
      </w:r>
    </w:p>
    <w:p>
      <w:r>
        <w:rPr>
          <w:i/>
          <w:color w:val="666666"/>
          <w:sz w:val="18"/>
        </w:rPr>
        <w:t>Dixon-Douglas JR et al.  ·  Lancet Oncol  ·  Sept. 2026  ·  PMID 42636839</w:t>
      </w:r>
    </w:p>
    <w:p>
      <w:r>
        <w:t>Externe Validierung zweier KI-Pipelines zur automatisierten Quantifizierung tumorinfiltierender Lymphozyten in Tumorproben von 1.356 Patienten mit Brustkrebsindizes an prospektiven Studiendaten.</w:t>
      </w:r>
    </w:p>
    <w:p>
      <w:r>
        <w:rPr>
          <w:b/>
        </w:rPr>
        <w:t xml:space="preserve">Ergebnis: </w:t>
      </w:r>
      <w:r>
        <w:t>cTIL-Scores waren unabhängig mit Invasive-Disease-Free-Survival (HR 0,80, p&lt;0,0001), Distant-Disease-Free-Survival (HR 0,77, p&lt;0,0001) und Overall-Survival (HR 0,79, p=0,0002) assoziiert. cTIL verbesserte 5-Jahres-AUC gegenüber klinicopathologischen Variablen allein, trug aber nicht inkrementell zu Modellen mit Patholog-Scores hinzu. KI zeigt Reproduzierbarkeit als Biomarker, besonders wo Patholog-Assessment fehlt.</w:t>
      </w:r>
    </w:p>
    <w:p>
      <w:r>
        <w:rPr>
          <w:b/>
          <w:sz w:val="19"/>
        </w:rPr>
        <w:t xml:space="preserve">Übertragbarkeit: </w:t>
      </w:r>
      <w:r>
        <w:rPr>
          <w:sz w:val="19"/>
        </w:rPr>
        <w:t>Europäische Studie (Niederlande, Belgien, Frankreich, Skandinavien), klinische Validation mit langfristigen Outcomes</w:t>
      </w:r>
    </w:p>
    <w:p>
      <w:r>
        <w:rPr>
          <w:color w:val="5A7D3A"/>
          <w:sz w:val="18"/>
        </w:rPr>
        <w:t>https://pubmed.ncbi.nlm.nih.gov/42636839/</w:t>
      </w:r>
    </w:p>
    <w:p>
      <w:pPr>
        <w:pStyle w:val="Heading1"/>
      </w:pPr>
      <w:r>
        <w:t>Aufgenommen am 28.08.2026</w:t>
      </w:r>
    </w:p>
    <w:p>
      <w:pPr>
        <w:pStyle w:val="Heading2"/>
      </w:pPr>
      <w:r>
        <w:t>KI-gestützte Hüftfraktur-Vorhersage in der Bevölkerungs-Screening-Untersuchung</w:t>
      </w:r>
    </w:p>
    <w:p>
      <w:r>
        <w:rPr>
          <w:i/>
          <w:color w:val="666666"/>
          <w:sz w:val="18"/>
        </w:rPr>
        <w:t>Axelsson KF et al.  ·  PLoS Med  ·  27.08.2026  ·  PMID 42658839</w:t>
      </w:r>
    </w:p>
    <w:p>
      <w:r>
        <w:t>Eine schwedische Kohortenstudie entwickelte und validierte ein Deep-Learning-Modell (FRACTURE-ML) zur Vorhersage von Hüftfraktur-Risiko bei über 3,5 Millionen Personen ab 50 Jahren anhand von Diagnosen, Medikamenten und soziodemografischen Daten aus Routineunterlagen.</w:t>
      </w:r>
    </w:p>
    <w:p>
      <w:r>
        <w:rPr>
          <w:b/>
        </w:rPr>
        <w:t xml:space="preserve">Ergebnis: </w:t>
      </w:r>
      <w:r>
        <w:t>Das Modell erreichte eine AUC von 0,89 (95%-KI 0,88–0,89) im 1-Jahres-Horizont und 0,87 im 2-Jahres-Horizont und identifizierte bei 2-Jahres-Prognose 84 % der Risikopersonen (Sensitivität) gegenüber nur 12 % bei klassischer Fraktur-Liason-Prävention (Vergleich mit Spezifität 0,79 vs. 0,98). Das Tool könnte als ressourceneffiziente primäre Screening-Lösung eingesetzt werden.</w:t>
      </w:r>
    </w:p>
    <w:p>
      <w:r>
        <w:rPr>
          <w:b/>
          <w:sz w:val="19"/>
        </w:rPr>
        <w:t xml:space="preserve">Übertragbarkeit: </w:t>
      </w:r>
      <w:r>
        <w:rPr>
          <w:sz w:val="19"/>
        </w:rPr>
        <w:t>Schwedische nationale Registerkohorte, vergleichbare öffentliche Gesundheitssysteme.</w:t>
      </w:r>
    </w:p>
    <w:p>
      <w:r>
        <w:rPr>
          <w:color w:val="5A7D3A"/>
          <w:sz w:val="18"/>
        </w:rPr>
        <w:t>https://pubmed.ncbi.nlm.nih.gov/42658839/</w:t>
      </w:r>
    </w:p>
    <w:p>
      <w:pPr>
        <w:pStyle w:val="Heading2"/>
      </w:pPr>
      <w:r>
        <w:t>KI-Kompetenz, Angst und Haltung von Pflegekräften in Krankenhäusern verschiedener Tiers</w:t>
      </w:r>
    </w:p>
    <w:p>
      <w:r>
        <w:rPr>
          <w:i/>
          <w:color w:val="666666"/>
          <w:sz w:val="18"/>
        </w:rPr>
        <w:t>Dai Y et al.  ·  Front Public Health  ·  12.08.2026  ·  PMID 42656574</w:t>
      </w:r>
    </w:p>
    <w:p>
      <w:r>
        <w:t>Eine Multi-Center-Querschnittsstudie mit 1.392 registrierten Krankenpfleger(inne)n in Chongqing untersuchte KI-Kompetenz, KI-Angst und Einstellungen zur KI in Krankenhäusern auf unterschiedlichen Versorgungsstufen.</w:t>
      </w:r>
    </w:p>
    <w:p>
      <w:r>
        <w:rPr>
          <w:b/>
        </w:rPr>
        <w:t xml:space="preserve">Ergebnis: </w:t>
      </w:r>
      <w:r>
        <w:t>KI-Kompetenz betrug 5,27±0,90 (75,29 % Scoring-Rate). KI-Angst war moderat (51,29 %), mit höchsten Bedenken bei Jobverlust (55,14 %) und Wissenslücken (56,43 %). Gesamteinstellung war positiv (74,00 %). KI-Kompetenz korrelierte negativ mit Angst (r=−0,338, p&lt;0,001) und positiv mit Einstellung (r=0,551, p&lt;0,001). Kompetenz erklärte 9,9 % der Angst-Varianz und 29,4 % der Einstellungs-Varianz; niedriger Geräte-Zugang war mit höherer Angst assoziiert.</w:t>
      </w:r>
    </w:p>
    <w:p>
      <w:r>
        <w:rPr>
          <w:b/>
          <w:sz w:val="19"/>
        </w:rPr>
        <w:t xml:space="preserve">Übertragbarkeit: </w:t>
      </w:r>
      <w:r>
        <w:rPr>
          <w:sz w:val="19"/>
        </w:rPr>
        <w:t>Chongqing/China; relevante Erkenntnisse für Pflegekraft-Integration und Unterstützungsstrukturen.</w:t>
      </w:r>
    </w:p>
    <w:p>
      <w:r>
        <w:rPr>
          <w:color w:val="5A7D3A"/>
          <w:sz w:val="18"/>
        </w:rPr>
        <w:t>https://pubmed.ncbi.nlm.nih.gov/42656574/</w:t>
      </w:r>
    </w:p>
    <w:p>
      <w:pPr>
        <w:pStyle w:val="Heading2"/>
      </w:pPr>
      <w:r>
        <w:t>Pflegeperson-gestützte digitale Therapeutika für Typ-2-Diabetes: Adhärenz und glykämische Ergebnisse</w:t>
      </w:r>
    </w:p>
    <w:p>
      <w:r>
        <w:rPr>
          <w:i/>
          <w:color w:val="666666"/>
          <w:sz w:val="18"/>
        </w:rPr>
        <w:t>Ma J et al.  ·  Front Public Health  ·  12.08.2026  ·  PMID 42656516</w:t>
      </w:r>
    </w:p>
    <w:p>
      <w:r>
        <w:t>Eine retrospektive Kohortenstudie in China evaluierte einen strukturierten, pflegeperson-geleiteten Digitale-Therapeutika-Pfad (Readiness-Screening, Schulung, Adhärenz-Monitoring, Feedback, Koordination) in der Routineversorgung von Typ-2-Diabetes-Patienten über 24 Wochen.</w:t>
      </w:r>
    </w:p>
    <w:p>
      <w:r>
        <w:rPr>
          <w:b/>
        </w:rPr>
        <w:t xml:space="preserve">Ergebnis: </w:t>
      </w:r>
      <w:r>
        <w:t>Die pflegeperson-gestützte Intervention erzielte 78,3 % Adhärenz vs. 54,7 % in der Kontrollgruppe (Differenz 23,6 Prozentpunkte; p&lt;0,001). HbA1c-Reduktion war −0,8 % vs. −0,3 % (Differenz −0,5 Prozentpunkte; p&lt;0,001). Auch PSQ-18-Zufriedenheitsscores, Selbstmanagement und glykämische Variabilität waren besser. Die Pflegeintegration war stärkster Faktor für anhaltende Adhärenz.</w:t>
      </w:r>
    </w:p>
    <w:p>
      <w:r>
        <w:rPr>
          <w:b/>
          <w:sz w:val="19"/>
        </w:rPr>
        <w:t xml:space="preserve">Übertragbarkeit: </w:t>
      </w:r>
      <w:r>
        <w:rPr>
          <w:sz w:val="19"/>
        </w:rPr>
        <w:t>China, retrospektiv Single-Center; prospektive Multicenter-Studien vor breiter Implementierung erforderlich.</w:t>
      </w:r>
    </w:p>
    <w:p>
      <w:r>
        <w:rPr>
          <w:color w:val="5A7D3A"/>
          <w:sz w:val="18"/>
        </w:rPr>
        <w:t>https://pubmed.ncbi.nlm.nih.gov/42656516/</w:t>
      </w:r>
    </w:p>
    <w:p>
      <w:pPr>
        <w:pStyle w:val="Heading2"/>
      </w:pPr>
      <w:r>
        <w:t>EKG-Interpretation mit KI im klinischen Alltag: ethische Perspektiven von Ärztinnen und Ärzten</w:t>
      </w:r>
    </w:p>
    <w:p>
      <w:r>
        <w:rPr>
          <w:i/>
          <w:color w:val="666666"/>
          <w:sz w:val="18"/>
        </w:rPr>
        <w:t>Allgårdh G et al.  ·  BMC Med Ethics  ·  26.08.2026  ·  PMID 42649493</w:t>
      </w:r>
    </w:p>
    <w:p>
      <w:r>
        <w:t>Qualitative Interviews mit 12 schwedischen Fachleuten untersuchten, wie KI-unterstützte Elektrokardiografie (AI-ECG) in den Klinikalltag integriert werden könnte – ein hochvolumiges Feld mit großem Potenzial für Workflow-Veränderung.</w:t>
      </w:r>
    </w:p>
    <w:p>
      <w:r>
        <w:rPr>
          <w:b/>
        </w:rPr>
        <w:t xml:space="preserve">Ergebnis: </w:t>
      </w:r>
      <w:r>
        <w:t>Ärzte sehen Potenzial für verbesserte Diagnosegenauigkeit, Priorisierung und Entlastung. Gleichzeitig wurden Bedenken geäußert: Übervertrauen, fehlende Accountability, Deskilling durch zu hohe Automatisierung, sowie ethische Fragen bei Zufallsbefunden und deren Offenlegung. Die Ärzte fordern Real-World-Validierung, Beachtung von Alert-Burden und Protokolle für prognostische Befunde.</w:t>
      </w:r>
    </w:p>
    <w:p>
      <w:r>
        <w:rPr>
          <w:b/>
          <w:sz w:val="19"/>
        </w:rPr>
        <w:t xml:space="preserve">Übertragbarkeit: </w:t>
      </w:r>
      <w:r>
        <w:rPr>
          <w:sz w:val="19"/>
        </w:rPr>
        <w:t>Stockholm, Schweden – vergleichbare Versorgungsstrukturen.</w:t>
      </w:r>
    </w:p>
    <w:p>
      <w:r>
        <w:rPr>
          <w:color w:val="5A7D3A"/>
          <w:sz w:val="18"/>
        </w:rPr>
        <w:t>https://pubmed.ncbi.nlm.nih.gov/42649493/</w:t>
      </w:r>
    </w:p>
    <w:p>
      <w:pPr>
        <w:pStyle w:val="Heading2"/>
      </w:pPr>
      <w:r>
        <w:t>KI in der Neurologie: europäische Task Force entwirft Lehr- und Implementierungs-Rahmen</w:t>
      </w:r>
    </w:p>
    <w:p>
      <w:r>
        <w:rPr>
          <w:i/>
          <w:color w:val="666666"/>
          <w:sz w:val="18"/>
        </w:rPr>
        <w:t>Accorroni A et al.  ·  Eur J Neurol  ·  Aug. 2026  ·  PMID 42627286</w:t>
      </w:r>
    </w:p>
    <w:p>
      <w:r>
        <w:t>Die Europäische Akademie für Neurologie gründete eine multidisziplinäre Task Force zur Schließung von Bildungs-, ethischen und regulatorischen Lücken bei der KI-Integration in der klinischen Neurologie.</w:t>
      </w:r>
    </w:p>
    <w:p>
      <w:r>
        <w:rPr>
          <w:b/>
        </w:rPr>
        <w:t xml:space="preserve">Ergebnis: </w:t>
      </w:r>
      <w:r>
        <w:t>Die Task Force hat einen modularen Lehrplan entwickelt (technische Grundlagen, klinische Anwendungen, ethische Implikationen, regulatorische Compliance) und eine europaweite Umfrage durchgeführt, um Wissenslücken und systemische Barrieren zu identifizieren. Geplante Ressourcen: E-Learning-Module, Podcasts, Masterclasses und interaktive Kongresssitzungen. Die Task Force wird Empfehlungen zur ethischen und regulatorischen Dimension erarbeiten.</w:t>
      </w:r>
    </w:p>
    <w:p>
      <w:r>
        <w:rPr>
          <w:b/>
          <w:sz w:val="19"/>
        </w:rPr>
        <w:t xml:space="preserve">Übertragbarkeit: </w:t>
      </w:r>
      <w:r>
        <w:rPr>
          <w:sz w:val="19"/>
        </w:rPr>
        <w:t>Europa-weiter Ansatz, primär deutschsprachiger und europäischer Fokus.</w:t>
      </w:r>
    </w:p>
    <w:p>
      <w:r>
        <w:rPr>
          <w:color w:val="5A7D3A"/>
          <w:sz w:val="18"/>
        </w:rPr>
        <w:t>https://pubmed.ncbi.nlm.nih.gov/42627286/</w:t>
      </w:r>
    </w:p>
    <w:p>
      <w:pPr>
        <w:pStyle w:val="Heading2"/>
      </w:pPr>
      <w:r>
        <w:t>Diagnostisch kalibrierte KI-Bildqualitäts-Bewertung für Prostatakrebserkennung in MRT</w:t>
      </w:r>
    </w:p>
    <w:p>
      <w:r>
        <w:rPr>
          <w:i/>
          <w:color w:val="666666"/>
          <w:sz w:val="18"/>
        </w:rPr>
        <w:t>Coelho TF et al.  ·  Radiology  ·  Aug. 2026  ·  PMID 42610819</w:t>
      </w:r>
    </w:p>
    <w:p>
      <w:r>
        <w:t>Eine Single-Center-Studie entwickelte und validierte ein Deep-Learning-Framework zur automatisierten Bildqualitätsbewertung von Prostata-Multiparameter-MRT, das Bildqualitätsscores direkt an diagnostischer Leistung (csPCa-Detektion) kalibriert.</w:t>
      </w:r>
    </w:p>
    <w:p>
      <w:r>
        <w:rPr>
          <w:b/>
        </w:rPr>
        <w:t xml:space="preserve">Ergebnis: </w:t>
      </w:r>
      <w:r>
        <w:t>Das DL-Modell erreichte AUC 0,99 zur Unterscheidung niedrig- vs. hochqualitativer Bilder. In der diagnostischen Testgruppe (568 MPMRIs, 1638 Patienten) verbesserte sich das KI-Modell csPCa-Erkennung von AUC 0,92 (95%-KI 0,89–0,94) zu 0,99 (95%-KI 0,97–1,00; p=0,005); Radiologen-Genauigkeit stieg von 77 % auf 85 % (p=0,01). Das Framework verband Bildqualität direkt mit diagnostischem Ertrag.</w:t>
      </w:r>
    </w:p>
    <w:p>
      <w:r>
        <w:rPr>
          <w:b/>
          <w:sz w:val="19"/>
        </w:rPr>
        <w:t xml:space="preserve">Übertragbarkeit: </w:t>
      </w:r>
      <w:r>
        <w:rPr>
          <w:sz w:val="19"/>
        </w:rPr>
        <w:t>Niederlande/Radboud UMC; methodisches Vorbild für diagnostische Validierung.</w:t>
      </w:r>
    </w:p>
    <w:p>
      <w:r>
        <w:rPr>
          <w:color w:val="5A7D3A"/>
          <w:sz w:val="18"/>
        </w:rPr>
        <w:t>https://pubmed.ncbi.nlm.nih.gov/42610819/</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Schweiz,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2026-09-04T06:00:00Z</dcterms:created>
  <dcterms:modified xsi:type="dcterms:W3CDTF">2026-09-04T06:00:00Z</dcterms:modified>
  <cp:category/>
</cp:coreProperties>
</file>