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01.09.2026  |  7 Studien  |  ki.m-vf.de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Mobile App für Patientenverfügungen: Nutzerfreundlichkeit und Zufriedenheit mit iDecide</w:t>
      </w:r>
    </w:p>
    <w:p>
      <w:r>
        <w:rPr>
          <w:i/>
          <w:color w:val="666666"/>
          <w:sz w:val="18"/>
        </w:rPr>
        <w:t>Von Segesser A et al.  ·  Swiss Med Wkly  ·  25.08.2026  ·  PMID 42672122</w:t>
      </w:r>
    </w:p>
    <w:p>
      <w:r>
        <w:t>Participatory Action Research zur Entwicklung der iDecide-App für die Erstellung von Patientenverfügungen in der Schweiz; Bewertung durch 94 Nutzer mit Fünf-Punkte-Skala.</w:t>
      </w:r>
    </w:p>
    <w:p>
      <w:r>
        <w:rPr>
          <w:b/>
        </w:rPr>
        <w:t xml:space="preserve">Ergebnis: </w:t>
      </w:r>
      <w:r>
        <w:t>Mittlere Gesamtbewertung 4,69 (SD 0,57, 95%-KI 4,56–4,81) über alle Altersgruppen konsistent; hohe Benutzerfreundlichkeit und Zufriedenheit mit Informationsqualität; verfügbar ohne zusätzliche Infrastruktur.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nationale Roadmap zur Umsetzung berücksichtigt.</w:t>
      </w:r>
    </w:p>
    <w:p>
      <w:r>
        <w:rPr>
          <w:color w:val="5A7D3A"/>
          <w:sz w:val="18"/>
        </w:rPr>
        <w:t>https://pubmed.ncbi.nlm.nih.gov/42672122/</w:t>
      </w:r>
    </w:p>
    <w:p>
      <w:pPr>
        <w:pStyle w:val="Heading2"/>
      </w:pPr>
      <w:r>
        <w:t>KI-gestützte virtuelle Patienten für pädiatrische Interviewtraining in Medizinstudium</w:t>
      </w:r>
    </w:p>
    <w:p>
      <w:r>
        <w:rPr>
          <w:i/>
          <w:color w:val="666666"/>
          <w:sz w:val="18"/>
        </w:rPr>
        <w:t>Fernández C et al.  ·  J Educ Eval Health Prof  ·  31.08.2026  ·  PMID 42670678</w:t>
      </w:r>
    </w:p>
    <w:p>
      <w:r>
        <w:t>Zwei observationale Studien zur Akzeptanz von conversational AI-basierten virtuellen Patienten durch Medizinstudierende im Curriculum; Zufriedenheit und Einflussfaktoren analysiert.</w:t>
      </w:r>
    </w:p>
    <w:p>
      <w:r>
        <w:rPr>
          <w:b/>
        </w:rPr>
        <w:t xml:space="preserve">Ergebnis: </w:t>
      </w:r>
      <w:r>
        <w:t>Plattformbewertung hoch (Mittelwert 9,04, SD 1,09); signifikanter Zusammenhang zwischen Nutzerinteraktionen und Zufriedenheit (p=0,038, β=0,022); keine signifikanten demografischen Unterschiede; Akzeptanz vergleichbar mit bisheriger Literatur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europäischer Hochschulkontext, aber Generalisierbarkeit zu prüfen.</w:t>
      </w:r>
    </w:p>
    <w:p>
      <w:r>
        <w:rPr>
          <w:color w:val="5A7D3A"/>
          <w:sz w:val="18"/>
        </w:rPr>
        <w:t>https://pubmed.ncbi.nlm.nih.gov/42670678/</w:t>
      </w:r>
    </w:p>
    <w:p>
      <w:pPr>
        <w:pStyle w:val="Heading2"/>
      </w:pPr>
      <w:r>
        <w:t>App-basiertes Biofeedback zur Migräneprävention: randomisierte Studie</w:t>
      </w:r>
    </w:p>
    <w:p>
      <w:r>
        <w:rPr>
          <w:i/>
          <w:color w:val="666666"/>
          <w:sz w:val="18"/>
        </w:rPr>
        <w:t>Poole AC et al.  ·  Cephalalgia  ·  30.08.2026  ·  PMID 42669793</w:t>
      </w:r>
    </w:p>
    <w:p>
      <w:r>
        <w:t>Offene, randomisierte, wartelistenkontrollierte Multicenterstudie zu 12-Wochen-App-basiertem Biofeedback zur Migräneprophylaxe mit klinisch validiertem Outcome (monatliche Migränetage, MSQ-Score).</w:t>
      </w:r>
    </w:p>
    <w:p>
      <w:r>
        <w:rPr>
          <w:b/>
        </w:rPr>
        <w:t xml:space="preserve">Ergebnis: </w:t>
      </w:r>
      <w:r>
        <w:t>Von 1.113 gescreenten 279 randomisiert (92% Frauen, Mittelalter 41 Jahre). Primäres Outcome (Wochen 9–12): Intervention –0,9 Tage (95%-KI –1,4 bis –0,5) vs. Kontrolle 0,0 Tage (95%-KI –0,5 bis 0,4); Differenz 0,9 Tage (p=0,002). MSQ-Verbesserung: +5,3 Punkte (95%-KI 2,1 bis 8,6; p=0,001). Neun milde Nebenwirkungen. Ergebnis: statistisch signifikante Reduktion der Migränehäufigkeit bei günstiger 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Digitalisierungsgrad höher, aber Konzept übertragbar.</w:t>
      </w:r>
    </w:p>
    <w:p>
      <w:r>
        <w:rPr>
          <w:color w:val="5A7D3A"/>
          <w:sz w:val="18"/>
        </w:rPr>
        <w:t>https://pubmed.ncbi.nlm.nih.gov/42669793/</w:t>
      </w:r>
    </w:p>
    <w:p>
      <w:pPr>
        <w:pStyle w:val="Heading2"/>
      </w:pPr>
      <w:r>
        <w:t>Machine Learning für Pharmacogenetics-Entscheidungsuntersützung: Scoping Review zur klinischen Umsetzung</w:t>
      </w:r>
    </w:p>
    <w:p>
      <w:r>
        <w:rPr>
          <w:i/>
          <w:color w:val="666666"/>
          <w:sz w:val="18"/>
        </w:rPr>
        <w:t>Taylor AD et al.  ·  Appl Clin Inform  ·  30.08.2026  ·  PMID 42669295</w:t>
      </w:r>
    </w:p>
    <w:p>
      <w:r>
        <w:t>Systematische Literaturübersicht (2015–Sept. 2025) zu ML-basierten CDSS-Systemen für Pharmacogenetics-gestützte Therapieentscheidungen; Fokus auf klinische Implementierung, nicht nur Modellentwicklung.</w:t>
      </w:r>
    </w:p>
    <w:p>
      <w:r>
        <w:rPr>
          <w:b/>
        </w:rPr>
        <w:t xml:space="preserve">Ergebnis: </w:t>
      </w:r>
      <w:r>
        <w:t>Von 1.262 gescreenten Datensätzen erfüllten 7 Studien Kriterien. Alle beschrieben ML-Systeme mit integrierter Pharmacogenetic-Daten in klinischer Umgebung. Mehrheit zeigte potenzielle Vorteile (Reduktion vermeidbarer Arzneischäden, bessere Verschreibungsgenauigkeit, Workflow-Integration). Aber: Nur 2 Studien evaluierten ML-PGx-CDSS in echten klinischen oder Trial-Workflows; klinische Implementierung bleibt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USA-Studien dominant, aber methodische Erkenntnisse zur Workflow-Integration für Deutschland relevant.</w:t>
      </w:r>
    </w:p>
    <w:p>
      <w:r>
        <w:rPr>
          <w:color w:val="5A7D3A"/>
          <w:sz w:val="18"/>
        </w:rPr>
        <w:t>https://pubmed.ncbi.nlm.nih.gov/42669295/</w:t>
      </w:r>
    </w:p>
    <w:p>
      <w:pPr>
        <w:pStyle w:val="Heading2"/>
      </w:pPr>
      <w:r>
        <w:t>Machine Learning zur Prognose von Sarkopenie und Mortalität bei Lymphombehandlung</w:t>
      </w:r>
    </w:p>
    <w:p>
      <w:r>
        <w:rPr>
          <w:i/>
          <w:color w:val="666666"/>
          <w:sz w:val="18"/>
        </w:rPr>
        <w:t>Ullrich F et al.  ·  Blood Adv  ·  08.09.2026  ·  PMID 42664000</w:t>
      </w:r>
    </w:p>
    <w:p>
      <w:r>
        <w:t>Prospektive Phase-3-Studie (PETAL-Trial) zur Vorhersage von Sterblichkeit und Toxizität mittels Deep Learning-gestützter Körperzusammensetzungsanalyse an CT-Bildern von DLBCL-Patienten; klinisches Outcome als primär untersucht.</w:t>
      </w:r>
    </w:p>
    <w:p>
      <w:r>
        <w:rPr>
          <w:b/>
        </w:rPr>
        <w:t xml:space="preserve">Ergebnis: </w:t>
      </w:r>
      <w:r>
        <w:t>Sarkopenie assoziiert mit inferior Überleben nach Adjustierung für bekannte Risikofaktoren; Ursachen-spezifische Analyse: Sarkopenie prädiktiv für Non-Relapse-Mortalität (nicht für lymphom-spezifische Mortalität); sarkopenische Patienten höhere Häufigkeit von Hämatotoxizität; früher Muskelverlust während Therapie mit inferiorem Überleben korreliert.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Universitätskliniken, ähnliche Dokumentation und Patientenpopulation.</w:t>
      </w:r>
    </w:p>
    <w:p>
      <w:r>
        <w:rPr>
          <w:color w:val="5A7D3A"/>
          <w:sz w:val="18"/>
        </w:rPr>
        <w:t>https://pubmed.ncbi.nlm.nih.gov/42664000/</w:t>
      </w:r>
    </w:p>
    <w:p>
      <w:pPr>
        <w:pStyle w:val="Heading2"/>
      </w:pPr>
      <w:r>
        <w:t>Individual Participant Data Meta-Analyse zu Long-COVID-Langzeitfolgen: Datenbank aus 40 Ländern</w:t>
      </w:r>
    </w:p>
    <w:p>
      <w:r>
        <w:rPr>
          <w:i/>
          <w:color w:val="666666"/>
          <w:sz w:val="18"/>
        </w:rPr>
        <w:t>Ali M et al.  ·  Health Soc Care Deliv Res  ·  Aug. 2026  ·  PMID 42663308</w:t>
      </w:r>
    </w:p>
    <w:p>
      <w:r>
        <w:t>PRECIOUS-Studie: systematische Metaanalyse von 116 Datensätzen (62.849 Personen) zu Langzeitfolgen nach COVID-19 aus klinischen, Gemeinschafts- und Forschungseinrichtungen; Assoziation mit Outcomes über 3–24 Monate untersucht.</w:t>
      </w:r>
    </w:p>
    <w:p>
      <w:r>
        <w:rPr>
          <w:b/>
        </w:rPr>
        <w:t xml:space="preserve">Ergebnis: </w:t>
      </w:r>
      <w:r>
        <w:t>Frauen hatten schlechtere Outcomes in 30/37 Modellen vs. Männer; vorbestehende Lungenerkrankung und Alter in 15/37 Modellen mit schlechteren Outcomes assoziiert; Hospitalisierung, Diabetes, chronische Nierenkrankheit je in 8/37 Modellen prädiktiv; initiale Hospitalisierung führte zu niedrigerer Lebensqualität ohne Erholung über bis zu 2 Jahre; Heterogenität niedrig in 34/37 Modellen.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Hocheinkommensländer, teilweise europäische Daten; Implementierungslücken für Deutschland identifiziert.</w:t>
      </w:r>
    </w:p>
    <w:p>
      <w:r>
        <w:rPr>
          <w:color w:val="5A7D3A"/>
          <w:sz w:val="18"/>
        </w:rPr>
        <w:t>https://pubmed.ncbi.nlm.nih.gov/42663308/</w:t>
      </w:r>
    </w:p>
    <w:p>
      <w:pPr>
        <w:pStyle w:val="Heading2"/>
      </w:pPr>
      <w:r>
        <w:t>Mobile Health in Palliativversorgung: Realist Review zu Kontextfaktoren und Wirkmechanismen</w:t>
      </w:r>
    </w:p>
    <w:p>
      <w:r>
        <w:rPr>
          <w:i/>
          <w:color w:val="666666"/>
          <w:sz w:val="18"/>
        </w:rPr>
        <w:t>Gebre NT et al.  ·  JMIR Mhealth Uhealth  ·  14.08.2026  ·  PMID 42600073</w:t>
      </w:r>
    </w:p>
    <w:p>
      <w:r>
        <w:t>Realist Review nach JBI-Methodik zu mHealth-Interventionen in der häuslichen Palliativversorgung; Synthese über Kontextfaktoren, Mechanismen und Outcomes aus 126 eingeschlossenen Studien.</w:t>
      </w:r>
    </w:p>
    <w:p>
      <w:r>
        <w:rPr>
          <w:b/>
        </w:rPr>
        <w:t xml:space="preserve">Ergebnis: </w:t>
      </w:r>
      <w:r>
        <w:t>Sechs positive Wirkmechanismen identifiziert: (1) Reduktion von Besorgnis durch Orientierung, (2) Minimierung technischer Barrieren durch nutzerfreundliches Design, (3) Stakeholder-Engagement, (4) Interoperabilität von Informationssystemen, (5) Zugang zu Gesundheitsteams, (6) Nutzerbefähigung durch Information; Implementierung erfordert Sicherheit, Technologiekompetenz, angepasste Kommunikation, Familieneinbindung.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International, aber wenig spezifische deutsche Implementierungsdaten.</w:t>
      </w:r>
    </w:p>
    <w:p>
      <w:r>
        <w:rPr>
          <w:color w:val="5A7D3A"/>
          <w:sz w:val="18"/>
        </w:rPr>
        <w:t>https://pubmed.ncbi.nlm.nih.gov/42600073/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