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23.10.2026  |  6 Studien  |  ki.m-vf.de</w:t>
      </w:r>
    </w:p>
    <w:p>
      <w:pPr>
        <w:pStyle w:val="Heading1"/>
      </w:pPr>
      <w:r>
        <w:t>Aufgenommen am 23.10.2026</w:t>
      </w:r>
    </w:p>
    <w:p>
      <w:pPr>
        <w:pStyle w:val="Heading2"/>
      </w:pPr>
      <w:r>
        <w:t>Machine Learning zur Vorhersage von Krankenhaussterblichkeit bei diabetischer Sepsis</w:t>
      </w:r>
    </w:p>
    <w:p>
      <w:r>
        <w:rPr>
          <w:i/>
          <w:color w:val="666666"/>
          <w:sz w:val="18"/>
        </w:rPr>
        <w:t>Shen Z et al.  ·  BMC Med Inform Decis Mak  ·  22.10.2026  ·  PMID 42907983</w:t>
      </w:r>
    </w:p>
    <w:p>
      <w:r>
        <w:t>Retrospektive Kohortenstudie mit 7716 Patienten aus MIMIC-IV-Datenbank zum Vergleich von sechs Machine-Learning-Algorithmen für Mortalitätsprognose bei septischen Diabetespatienten auf Intensivstationen.</w:t>
      </w:r>
    </w:p>
    <w:p>
      <w:r>
        <w:rPr>
          <w:b/>
        </w:rPr>
        <w:t xml:space="preserve">Ergebnis: </w:t>
      </w:r>
      <w:r>
        <w:t>Gradient Boosting Decision Tree erreichte beste Vorhersagegüte (AUC 0,792) und übertraf konventionellen SOFA-Score. SHAP-Analyse zeigte klinische Feature-Hierarchie. Modellinterpretierbarkeit ermöglichte potenzielle Adoption in der Klinik.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USA-Daten, aber Methodik und Sepsis-Management sind übertragbar</w:t>
      </w:r>
    </w:p>
    <w:p>
      <w:r>
        <w:rPr>
          <w:color w:val="5A7D3A"/>
          <w:sz w:val="18"/>
        </w:rPr>
        <w:t>https://pubmed.ncbi.nlm.nih.gov/42907983/</w:t>
      </w:r>
    </w:p>
    <w:p>
      <w:pPr>
        <w:pStyle w:val="Heading2"/>
      </w:pPr>
      <w:r>
        <w:t>LLM-Zuverlässigkeit beim Feedback zu ärztlichen Zusammenfassungen in Virtual-Patient-Systemen</w:t>
      </w:r>
    </w:p>
    <w:p>
      <w:r>
        <w:rPr>
          <w:i/>
          <w:color w:val="666666"/>
          <w:sz w:val="18"/>
        </w:rPr>
        <w:t>Stadler P et al.  ·  JMIR Med Educ  ·  21.10.2026  ·  PMID 42906147</w:t>
      </w:r>
    </w:p>
    <w:p>
      <w:r>
        <w:t>Experimentelle Studie mit 122 bewerteten Fallzusammenfassungen (Englisch/Deutsch) aus 6 Virtual-Patient-Fällen zum Test von vier LLMs (Claude, GPT-4o, Mistral Large/7B) bei rubrik-gestütztem Scoring mit verschiedenen Prompting-Strategien.</w:t>
      </w:r>
    </w:p>
    <w:p>
      <w:r>
        <w:rPr>
          <w:b/>
        </w:rPr>
        <w:t xml:space="preserve">Ergebnis: </w:t>
      </w:r>
      <w:r>
        <w:t>Große geschlossene Modelle (Claude, GPT-4o, Mistral Large) zeigten hohe Test-Retest-Zuverlässigkeit (ICC≥0,92). Claude war praktisch deterministisch (ICC/Fleiss κ≥0,99). Few-shot+CoT-Prompting erzielte beste Konkordanz mit Experten: Mistral Large 77 % Genauigkeit, Gwet AC1 0,85. LLMs können skalierbare formale Feedback geben, sollten aber Expertenurteil ergänzen, nicht ersetzen.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Fallstudien, europäische Kliniken, Lehrkontext</w:t>
      </w:r>
    </w:p>
    <w:p>
      <w:r>
        <w:rPr>
          <w:color w:val="5A7D3A"/>
          <w:sz w:val="18"/>
        </w:rPr>
        <w:t>https://pubmed.ncbi.nlm.nih.gov/42906147/</w:t>
      </w:r>
    </w:p>
    <w:p>
      <w:pPr>
        <w:pStyle w:val="Heading2"/>
      </w:pPr>
      <w:r>
        <w:t>KI-gestützte Delir-Risikovorhersage versus 4AT-Score in der Traumatologie</w:t>
      </w:r>
    </w:p>
    <w:p>
      <w:r>
        <w:rPr>
          <w:i/>
          <w:color w:val="666666"/>
          <w:sz w:val="18"/>
        </w:rPr>
        <w:t>Franceschini K et al.  ·  JMIR Form Res  ·  21.10.2026  ·  PMID 42906075</w:t>
      </w:r>
    </w:p>
    <w:p>
      <w:r>
        <w:t>Prospektive Kohortenstudie an 2002 Patienten einer Traumastation, die KI-basierte Delir-Vorhersage mit dem etablierten 4AT-Screening-Tool verglichen hat.</w:t>
      </w:r>
    </w:p>
    <w:p>
      <w:r>
        <w:rPr>
          <w:b/>
        </w:rPr>
        <w:t xml:space="preserve">Ergebnis: </w:t>
      </w:r>
      <w:r>
        <w:t>Die KI-basierte Methode erkannte 87,3 % der Patienten mit späterem Delir korrekt als Risikopatienten (vs. 28,0 % für 4AT), bei allerdings niedrigerer Spezifität (73,9 % vs. 96,3 %). AUC 0,884. Das Tool ermöglicht proaktive Risikovorhersage bereits bei Aufnahme ohne administrativen Mehraufwand.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Österreich, klinische Daten elektronischer Krankenakten, direkter Versorgungsnutzen</w:t>
      </w:r>
    </w:p>
    <w:p>
      <w:r>
        <w:rPr>
          <w:color w:val="5A7D3A"/>
          <w:sz w:val="18"/>
        </w:rPr>
        <w:t>https://pubmed.ncbi.nlm.nih.gov/42906075/</w:t>
      </w:r>
    </w:p>
    <w:p>
      <w:pPr>
        <w:pStyle w:val="Heading2"/>
      </w:pPr>
      <w:r>
        <w:t>Psychosoziale Faktoren in der Telecare-Akzeptanz durch Pflegepersonen im Alter</w:t>
      </w:r>
    </w:p>
    <w:p>
      <w:r>
        <w:rPr>
          <w:i/>
          <w:color w:val="666666"/>
          <w:sz w:val="18"/>
        </w:rPr>
        <w:t>Dolničar V et al.  ·  JMIR Aging  ·  20.10.2026  ·  PMID 42904387</w:t>
      </w:r>
    </w:p>
    <w:p>
      <w:r>
        <w:t>Querschnittsstudie mit 526 Pflegepersonen in Slowenien zu Faktoren der Telecare-Nutzungsabsicht, unter Erweiterung des UTAUT-Modells um psychosoziale Outcomes (Sicherheitsgefühl, Beruhigung, Verbundenheit).</w:t>
      </w:r>
    </w:p>
    <w:p>
      <w:r>
        <w:rPr>
          <w:b/>
        </w:rPr>
        <w:t xml:space="preserve">Ergebnis: </w:t>
      </w:r>
      <w:r>
        <w:t>Psychosoziale Outcomes zeigten stärkste Assoziation mit Nutzungsabsicht (β=0,41, p&lt;0,001). Leistungserwartung (β=0,52), förderliche Bedingungen (β=0,11) und sozialer Einfluss (β=0,21) signifikant. Modell erklärte 54 % der Varianz. Psychosoziale Faktoren sind kritischer als bloße Funktionalität.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Slowenien, europäischer Kontext, aber Prätest-Absicht, nicht tatsächliche Nutzung</w:t>
      </w:r>
    </w:p>
    <w:p>
      <w:r>
        <w:rPr>
          <w:color w:val="5A7D3A"/>
          <w:sz w:val="18"/>
        </w:rPr>
        <w:t>https://pubmed.ncbi.nlm.nih.gov/42904387/</w:t>
      </w:r>
    </w:p>
    <w:p>
      <w:pPr>
        <w:pStyle w:val="Heading2"/>
      </w:pPr>
      <w:r>
        <w:t>Ärztebewertung von Datenqualität in neuem länderübergreifendem EHR-System</w:t>
      </w:r>
    </w:p>
    <w:p>
      <w:r>
        <w:rPr>
          <w:i/>
          <w:color w:val="666666"/>
          <w:sz w:val="18"/>
        </w:rPr>
        <w:t>Golburean O et al.  ·  JMIR Form Res  ·  20.10.2026  ·  PMID 42902907</w:t>
      </w:r>
    </w:p>
    <w:p>
      <w:r>
        <w:t>Mixed-Methods-Studie mit Befragung und Interviews von Klinikärzten nach Einführung eines neuen institutionsübergreifenden EHR-Systems in Norwegen (2023–2024).</w:t>
      </w:r>
    </w:p>
    <w:p>
      <w:r>
        <w:rPr>
          <w:b/>
        </w:rPr>
        <w:t xml:space="preserve">Ergebnis: </w:t>
      </w:r>
      <w:r>
        <w:t>Mehrheit der Ärzte kritisierte Datenorganisation und Überfülle an Informationen; Verbesserungen in Datenzugriff anerkannt. Zeitverlauf-Funktion zur Patientenüberwachung und Chat-Funktion für Kollegenkommunikation als nutzbringend bewertet. Patientenportal verbesserte Kommunikation, aber Nutzbarkeit erfordert umfangreiche Schulung.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vergleichbare EHR-Infrastruktur und Datenschutzstandards</w:t>
      </w:r>
    </w:p>
    <w:p>
      <w:r>
        <w:rPr>
          <w:color w:val="5A7D3A"/>
          <w:sz w:val="18"/>
        </w:rPr>
        <w:t>https://pubmed.ncbi.nlm.nih.gov/42902907/</w:t>
      </w:r>
    </w:p>
    <w:p>
      <w:pPr>
        <w:pStyle w:val="Heading2"/>
      </w:pPr>
      <w:r>
        <w:t>LLM-gestützte Harmonisierung widersprüchlicher Leitlinien für Delphi-Konsensfindung</w:t>
      </w:r>
    </w:p>
    <w:p>
      <w:r>
        <w:rPr>
          <w:i/>
          <w:color w:val="666666"/>
          <w:sz w:val="18"/>
        </w:rPr>
        <w:t>Haas M et al.  ·  J Med Internet Res  ·  20.10.2026  ·  PMID 42902842</w:t>
      </w:r>
    </w:p>
    <w:p>
      <w:r>
        <w:t>Methodische Studie zur Entwicklung eines reproduzierbaren Workflows für LLM-gestützte Analyse konkurrierender klinischer Leitlinien und Identifikation von Evidenzlücken, am Beispiel Peniskarzinom durchgeführt.</w:t>
      </w:r>
    </w:p>
    <w:p>
      <w:r>
        <w:rPr>
          <w:b/>
        </w:rPr>
        <w:t xml:space="preserve">Ergebnis: </w:t>
      </w:r>
      <w:r>
        <w:t>Workflow extrahierte 157 Empfehlungen aus 5 Leitlinien und verdichtete diese zu 68 harmonisierten Kandidaten-Items; 15 Konsens-Items, 53 divergente/ambivalente Items, 9 echte Lücken identifiziert. Dreifach-Ensemble-Konsistenzprüfung mit Expertenvalidierung: 62 finale Delphi-ready Items.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Deutschland/Europa, Standard-Leitlinienmethodik und Konsensverfahren</w:t>
      </w:r>
    </w:p>
    <w:p>
      <w:r>
        <w:rPr>
          <w:color w:val="5A7D3A"/>
          <w:sz w:val="18"/>
        </w:rPr>
        <w:t>https://pubmed.ncbi.nlm.nih.gov/42902842/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2026-10-23T06:00:00Z</dcterms:created>
  <dcterms:modified xsi:type="dcterms:W3CDTF">2026-10-23T06:00:00Z</dcterms:modified>
  <cp:category/>
</cp:coreProperties>
</file>