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14.09.2026  |  6 Studien  |  ki.m-vf.de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 xml:space="preserve"> Deep Learning für nicht-invasive Vorhersage tertiärer lymphoider Strukturen beim Pankreaskrebs mit prospektiver Validierung</w:t>
      </w:r>
    </w:p>
    <w:p>
      <w:r>
        <w:rPr>
          <w:i/>
          <w:color w:val="666666"/>
          <w:sz w:val="18"/>
        </w:rPr>
        <w:t xml:space="preserve"> J Immunother Cancer  ·   2026  ·  PMID  42731878</w:t>
      </w:r>
    </w:p>
    <w:p>
      <w:r>
        <w:t xml:space="preserve"> Multicenter-Studie zur Entwicklung eines ResNet50-basierten Deep-Learning-Modells zur nicht-invasiven Vorhersage von tertiären lymphoiden Strukturen (TLS) aus CT mit prospektiver Validierung in einer Immunochemotherapie-Kohorte.</w:t>
      </w:r>
    </w:p>
    <w:p>
      <w:r>
        <w:rPr>
          <w:b/>
        </w:rPr>
        <w:t xml:space="preserve">Ergebnis: </w:t>
      </w:r>
      <w:r>
        <w:t xml:space="preserve"> Im Trainingssatz AUC 0,987, internaler Validierungssatz AUC 0,937, externer Validierungssatz AUC 0,853. In der prospektiven Immunochemotherapie-Kohorte (n=44): pathologieverifizierte AUC 0,929 (Spezifität 1,000). DLN-hohe Patienten zeigten signifikant bessere Ansprechrate (90,0% vs. 26,5%, p=0,001), progressionsfreies Überleben (median 13,1 vs. 5,3 Monate, p&lt;0,001) und Gesamtüberleben (median 17,6 vs. 8,7 Monate,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Chinesische Studie an Onkologie-Kohorte, aber international vergleichbare Datenqualität und prospektive Validierung zeigen Versorgungsrelevanz.</w:t>
      </w:r>
    </w:p>
    <w:p>
      <w:r>
        <w:rPr>
          <w:color w:val="5A7D3A"/>
          <w:sz w:val="18"/>
        </w:rPr>
        <w:t>https://pubmed.ncbi.nlm.nih.gov/ 42731878/</w:t>
      </w:r>
    </w:p>
    <w:p>
      <w:pPr>
        <w:pStyle w:val="Heading2"/>
      </w:pPr>
      <w:r>
        <w:t xml:space="preserve"> SMS-Erinnerungen zur Steigerung von Gebärmutterhals-Screenings bei schwerer psychischer Erkrankung</w:t>
      </w:r>
    </w:p>
    <w:p>
      <w:r>
        <w:rPr>
          <w:i/>
          <w:color w:val="666666"/>
          <w:sz w:val="18"/>
        </w:rPr>
        <w:t xml:space="preserve"> BMJ Open  ·   2026  ·  PMID  42731841</w:t>
      </w:r>
    </w:p>
    <w:p>
      <w:r>
        <w:t xml:space="preserve"> Pilot-RCT mit verhaltensgestützten SMS-Erinnerungen an Personen mit schwerer psychischer Erkrankung, bei denen eine Gebärmutterhalsuntersuchung ausstand.</w:t>
      </w:r>
    </w:p>
    <w:p>
      <w:r>
        <w:rPr>
          <w:b/>
        </w:rPr>
        <w:t xml:space="preserve">Ergebnis: </w:t>
      </w:r>
      <w:r>
        <w:t xml:space="preserve"> Von 150 randomisierten Teilnehmern wurden 88% SMS zugestellt (85% Intervention, 91% Kontrolle); nur 5 Teilnehmer (3,3%) nahmen an der Screening-Untersuchung teil. Primäre Machbarkeitsmessungen zeigten Viabilität (Rekrutierung 27%, Retention 77-100%, Datenvollständigkeit 64%), jedoch war die Umfrageantwortquote niedrig (7%).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Großbritannien, vergleichbares NHS-System, aber geringe Effektivität in dieser Population.</w:t>
      </w:r>
    </w:p>
    <w:p>
      <w:r>
        <w:rPr>
          <w:color w:val="5A7D3A"/>
          <w:sz w:val="18"/>
        </w:rPr>
        <w:t>https://pubmed.ncbi.nlm.nih.gov/ 42731841/</w:t>
      </w:r>
    </w:p>
    <w:p>
      <w:pPr>
        <w:pStyle w:val="Heading2"/>
      </w:pPr>
      <w:r>
        <w:t xml:space="preserve"> Radiomics und Machine Learning zur Erkennung von Myokardinfarkten in Leichenaufnahmen</w:t>
      </w:r>
    </w:p>
    <w:p>
      <w:r>
        <w:rPr>
          <w:i/>
          <w:color w:val="666666"/>
          <w:sz w:val="18"/>
        </w:rPr>
        <w:t xml:space="preserve"> Eur Radiol Exp  ·   2026  ·  PMID  42726426</w:t>
      </w:r>
    </w:p>
    <w:p>
      <w:r>
        <w:t xml:space="preserve"> Retrospektive Studie zur Erkennung von autopsiebefundierten Myokardinfarkten mittels radiomic-Features aus postmortem-CT und Machine Learning.</w:t>
      </w:r>
    </w:p>
    <w:p>
      <w:r>
        <w:rPr>
          <w:b/>
        </w:rPr>
        <w:t xml:space="preserve">Ergebnis: </w:t>
      </w:r>
      <w:r>
        <w:t xml:space="preserve"> Logistische Regression mit bester Performance: AUC 0,817 ± 0,12; Genauigkeit 0,746 ± 0,05; Sensitivität 0,764 ± 0,14; Spezifität 0,724 ± 0,13. Support Vector Machines und Random Forest zeigten vergleichbare AUC (0,814 ± 0,10 und 0,814 ± 0,08).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Deutsche Studie (Bonn), Machbarkeitsbefund, aber forensisches Setting, klinische Anwendbarkeit begrenzt.</w:t>
      </w:r>
    </w:p>
    <w:p>
      <w:r>
        <w:rPr>
          <w:color w:val="5A7D3A"/>
          <w:sz w:val="18"/>
        </w:rPr>
        <w:t>https://pubmed.ncbi.nlm.nih.gov/ 42726426/</w:t>
      </w:r>
    </w:p>
    <w:p>
      <w:pPr>
        <w:pStyle w:val="Heading2"/>
      </w:pPr>
      <w:r>
        <w:t xml:space="preserve"> Blutgefäßschonung in der Protonenstrahlentherapie: Dosisreduktion mit computergestützter Optimierung</w:t>
      </w:r>
    </w:p>
    <w:p>
      <w:r>
        <w:rPr>
          <w:i/>
          <w:color w:val="666666"/>
          <w:sz w:val="18"/>
        </w:rPr>
        <w:t xml:space="preserve"> J Appl Clin Med Phys  ·   2026  ·  PMID  42717666</w:t>
      </w:r>
    </w:p>
    <w:p>
      <w:r>
        <w:t xml:space="preserve"> Vergleichende Dosimetrie-Studie mit Patient-spezifischen cerebrovaskulären Modellen zur Optimierung der Strahlenbelastung auf Blutgefäße bei Glioblastoma-Radiotherapie.</w:t>
      </w:r>
    </w:p>
    <w:p>
      <w:r>
        <w:rPr>
          <w:b/>
        </w:rPr>
        <w:t xml:space="preserve">Ergebnis: </w:t>
      </w:r>
      <w:r>
        <w:t xml:space="preserve"> Mit computergestützter Gefäßschonung reduzierte sich die mittlere Gefäßdosis signifikant: von 6,5 ± 2,9 Gy(RBE) (konventionell) auf 3,8 ± 1,6 Gy(RBE) (mit Schonung); D10% fiel von 29,5 ± 13,4 auf 13,4 ± 8,7 Gy(RBE). Zielabdeckung blieb erhalten.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USA-Studie, aber dosimetrischer Befund physikalisch/biologisch universal anwendbar.</w:t>
      </w:r>
    </w:p>
    <w:p>
      <w:r>
        <w:rPr>
          <w:color w:val="5A7D3A"/>
          <w:sz w:val="18"/>
        </w:rPr>
        <w:t>https://pubmed.ncbi.nlm.nih.gov/ 42717666/</w:t>
      </w:r>
    </w:p>
    <w:p>
      <w:pPr>
        <w:pStyle w:val="Heading2"/>
      </w:pPr>
      <w:r>
        <w:t xml:space="preserve"> Smartphone-App zur Quantifizierung von Bindehautrötung mittels Gefäßdichteanaly se</w:t>
      </w:r>
    </w:p>
    <w:p>
      <w:r>
        <w:rPr>
          <w:i/>
          <w:color w:val="666666"/>
          <w:sz w:val="18"/>
        </w:rPr>
        <w:t xml:space="preserve"> Transl Vis Sci Technol  ·   2026  ·  PMID  42708554</w:t>
      </w:r>
    </w:p>
    <w:p>
      <w:r>
        <w:t xml:space="preserve"> Entwicklung einer Smartphone-Anwendung (Conjunctiva VD) zur objektiven Quantifizierung von Bindehautrötung durch automatisierte Gefäßsegmentierung in Echtzeit.</w:t>
      </w:r>
    </w:p>
    <w:p>
      <w:r>
        <w:rPr>
          <w:b/>
        </w:rPr>
        <w:t xml:space="preserve">Ergebnis: </w:t>
      </w:r>
      <w:r>
        <w:t xml:space="preserve"> Hochgradige Übereinstimmung zwischen Experten (quadratic-weighted κ = 0,854-0,885 für Efron-Benotung; ICC = 0,910 für subjektive Gefäßdichte). App-abgeleitete Gefäßdichte korrelierte stark mit Expert-Beurteilung (Spearman ρ = 0,780-0,807, p &lt; 0,001) und subjektiver VD-Schätzung (ρ = 0,814-0,843, 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Italienisch-deutsche Studie, tragbares Screening-Werkzeug, übertragbar auf deutsche Teleophthalmologie-Netzwerke.</w:t>
      </w:r>
    </w:p>
    <w:p>
      <w:r>
        <w:rPr>
          <w:color w:val="5A7D3A"/>
          <w:sz w:val="18"/>
        </w:rPr>
        <w:t>https://pubmed.ncbi.nlm.nih.gov/ 42708554/</w:t>
      </w:r>
    </w:p>
    <w:p>
      <w:pPr>
        <w:pStyle w:val="Heading2"/>
      </w:pPr>
      <w:r>
        <w:t xml:space="preserve"> Deep Learning zur automatisierten Segmentierung der langen Bizepssehne in Arthroskopie-Bildern</w:t>
      </w:r>
    </w:p>
    <w:p>
      <w:r>
        <w:rPr>
          <w:i/>
          <w:color w:val="666666"/>
          <w:sz w:val="18"/>
        </w:rPr>
        <w:t xml:space="preserve"> Sci Prog  ·   2026  ·  PMID  42704781</w:t>
      </w:r>
    </w:p>
    <w:p>
      <w:r>
        <w:t xml:space="preserve"> Evaluierung eines MASKRCNN_RESNET50_FPN-Modells zur automatisierten Erkennung und Segmentierung der langen Bizepssehne in arthrosk opischen Bildern mit dem Ziel, subjektive operative Entscheidungen zu objektivieren.</w:t>
      </w:r>
    </w:p>
    <w:p>
      <w:r>
        <w:rPr>
          <w:b/>
        </w:rPr>
        <w:t xml:space="preserve">Ergebnis: </w:t>
      </w:r>
      <w:r>
        <w:t xml:space="preserve"> Expert-Evaluierung auf 400 Validierungsbildern: Precision 0,88; automatische Pixelauswertung auf derselben Menge: Precision 0,83, Recall 0,86, F1-Score 0,83, IoU 0,76 (Median-IoU 0,90). U-Net-Vergleich zeigte höhere IoU (0,91, Wilcoxon p &lt; 0,001), aber MASKRCNN war robust über Sehnenorientierungen hinweg.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 xml:space="preserve"> Deutsche (Bochum) Studie an Krankenhausdaten, operativer Workf low-Kontext, aber externe Validierung ausstehend.</w:t>
      </w:r>
    </w:p>
    <w:p>
      <w:r>
        <w:rPr>
          <w:color w:val="5A7D3A"/>
          <w:sz w:val="18"/>
        </w:rPr>
        <w:t>https://pubmed.ncbi.nlm.nih.gov/ 42704781/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2026-09-14T06:00:00Z</dcterms:created>
  <dcterms:modified xsi:type="dcterms:W3CDTF">2026-09-14T06:00:00Z</dcterms:modified>
  <cp:category/>
</cp:coreProperties>
</file>