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12.10.2026  |  320 Studien  |  ki.m-vf.de</w:t>
      </w:r>
    </w:p>
    <w:p>
      <w:pPr>
        <w:pStyle w:val="Heading1"/>
      </w:pPr>
      <w:r>
        <w:t>Aufgenommen am 12.10.2026</w:t>
      </w:r>
    </w:p>
    <w:p>
      <w:pPr>
        <w:pStyle w:val="Heading2"/>
      </w:pPr>
      <w:r>
        <w:t>Hybrid-KI für Pflegeplanung: Regeln und LLM kombiniert in deutschen Heimen</w:t>
      </w:r>
    </w:p>
    <w:p>
      <w:r>
        <w:rPr>
          <w:i/>
          <w:color w:val="666666"/>
          <w:sz w:val="18"/>
        </w:rPr>
        <w:t>Pilz M et al.  ·  Health Care Manag Sci  ·  10.10.2026  ·  PMID 42859266</w:t>
      </w:r>
    </w:p>
    <w:p>
      <w:r>
        <w:t>Prototypische Evaluierung eines hybriden Clinical Decision Support System in zwei deutschen Pflegeheimen, das strukturierte Daten und Freitexte kombiniert, um Pflegeinterventionen in Mobilität und Schmerzmanagement zu generieren.</w:t>
      </w:r>
    </w:p>
    <w:p>
      <w:r>
        <w:rPr>
          <w:b/>
        </w:rPr>
        <w:t xml:space="preserve">Ergebnis: </w:t>
      </w:r>
      <w:r>
        <w:t>72 % der Empfehlungen wurden von Pflegefachpersonen als angemessen bewertet; LLM erzielte 76 % Übereinstimmung beim Extrahieren pflegerelevanter Informationen aus narrativen Texten. Die Hybrid-Architektur zeigte Potenzial zur Verbesserung der Pflegeplanung in Langzeiteinrichtungen.</w:t>
      </w:r>
    </w:p>
    <w:p>
      <w:r>
        <w:rPr>
          <w:b/>
          <w:sz w:val="19"/>
        </w:rPr>
        <w:t xml:space="preserve">Übertragbarkeit: </w:t>
      </w:r>
      <w:r>
        <w:rPr>
          <w:sz w:val="19"/>
        </w:rPr>
        <w:t>Deutschland, direkt in deutschen Einrichtungen entwickelt und getestet</w:t>
      </w:r>
    </w:p>
    <w:p>
      <w:r>
        <w:rPr>
          <w:color w:val="5A7D3A"/>
          <w:sz w:val="18"/>
        </w:rPr>
        <w:t>https://pubmed.ncbi.nlm.nih.gov/42859266/</w:t>
      </w:r>
    </w:p>
    <w:p>
      <w:pPr>
        <w:pStyle w:val="Heading1"/>
      </w:pPr>
      <w:r>
        <w:t>Aufgenommen am 11.10.2026</w:t>
      </w:r>
    </w:p>
    <w:p>
      <w:pPr>
        <w:pStyle w:val="Heading2"/>
      </w:pPr>
      <w:r>
        <w:t>eHealth-Literalität bei Krebspatienten in Norwegen: Messbarkeit und Einflussfaktoren</w:t>
      </w:r>
    </w:p>
    <w:p>
      <w:r>
        <w:rPr>
          <w:i/>
          <w:color w:val="666666"/>
          <w:sz w:val="18"/>
        </w:rPr>
        <w:t>Kongshaug N et al.  ·  JCO Clin Cancer Inform  ·  09.10.2026  ·  PMID 42854113</w:t>
      </w:r>
    </w:p>
    <w:p>
      <w:r>
        <w:t>Querschnittsstudie zur Bewertung der digitalen Gesundheitskompetenz von 248 Onkologiepatienten unter laufender oder kürzlich abgeschlossener Chemotherapie mittels eHealth Literacy Questionnaire.</w:t>
      </w:r>
    </w:p>
    <w:p>
      <w:r>
        <w:rPr>
          <w:b/>
        </w:rPr>
        <w:t xml:space="preserve">Ergebnis: </w:t>
      </w:r>
      <w:r>
        <w:t>eHealth Literacy Scores (7 Skalen): Mittelwerte 2,72–3,14 (SD 0,42–0,62); höchster Score bei Sicherheit/Kontrolle (3,14 ± 0,45); stärkster Prädiktor für niedrigere Literalität: höheres Alter; Geschlecht und Bildung nicht signifikant assoziiert.</w:t>
      </w:r>
    </w:p>
    <w:p>
      <w:r>
        <w:rPr>
          <w:b/>
          <w:sz w:val="19"/>
        </w:rPr>
        <w:t xml:space="preserve">Übertragbarkeit: </w:t>
      </w:r>
      <w:r>
        <w:rPr>
          <w:sz w:val="19"/>
        </w:rPr>
        <w:t>Skandinavien, Estland deutlich digitaler; Befunde zeigen Potential, nicht unmittelbare Umsetzbarkeit</w:t>
      </w:r>
    </w:p>
    <w:p>
      <w:r>
        <w:rPr>
          <w:color w:val="5A7D3A"/>
          <w:sz w:val="18"/>
        </w:rPr>
        <w:t>https://pubmed.ncbi.nlm.nih.gov/42854113/</w:t>
      </w:r>
    </w:p>
    <w:p>
      <w:pPr>
        <w:pStyle w:val="Heading2"/>
      </w:pPr>
      <w:r>
        <w:t>AI-Spracherkennungsapp R-SPEAK für Menschen mit Aphasie: Akzeptanz und Usability</w:t>
      </w:r>
    </w:p>
    <w:p>
      <w:r>
        <w:rPr>
          <w:i/>
          <w:color w:val="666666"/>
          <w:sz w:val="18"/>
        </w:rPr>
        <w:t>Al-Tamimi AK et al.  ·  J Med Internet Res  ·  08.10.2026  ·  PMID 42853042</w:t>
      </w:r>
    </w:p>
    <w:p>
      <w:r>
        <w:t>Qualitative Coprodukts-Studie zur Entwicklung und Bewertung eines Large Language Model-gestützten Smartphone-Apps, das Menschen mit leichter bis mittelschwerer expressiver Aphasie bei der Kommunikation unterstützen soll.</w:t>
      </w:r>
    </w:p>
    <w:p>
      <w:r>
        <w:rPr>
          <w:b/>
        </w:rPr>
        <w:t xml:space="preserve">Ergebnis: </w:t>
      </w:r>
      <w:r>
        <w:t>System Usability Scale: Mittelwert 75 (SD 9,19), bewertet als „gut</w:t>
      </w:r>
    </w:p>
    <w:p>
      <w:r>
        <w:rPr>
          <w:b/>
          <w:sz w:val="19"/>
        </w:rPr>
        <w:t xml:space="preserve">Übertragbarkeit: </w:t>
      </w:r>
      <w:r>
        <w:rPr>
          <w:sz w:val="19"/>
        </w:rPr>
        <w:t>Großbritannien; co-designed mit Menschen mit Aphasie, NHS-Settings</w:t>
      </w:r>
    </w:p>
    <w:p>
      <w:r>
        <w:rPr>
          <w:color w:val="5A7D3A"/>
          <w:sz w:val="18"/>
        </w:rPr>
        <w:t>https://pubmed.ncbi.nlm.nih.gov/42853042/</w:t>
      </w:r>
    </w:p>
    <w:p>
      <w:pPr>
        <w:pStyle w:val="Heading2"/>
      </w:pPr>
      <w:r>
        <w:t>Mobile Applikation zur Lupus-Selbstmanagement: Anforderungsanalyse und Usability</w:t>
      </w:r>
    </w:p>
    <w:p>
      <w:r>
        <w:rPr>
          <w:i/>
          <w:color w:val="666666"/>
          <w:sz w:val="18"/>
        </w:rPr>
        <w:t>Moulaei K et al.  ·  J Int Med Res  ·  09.10.2026  ·  PMID 42852649</w:t>
      </w:r>
    </w:p>
    <w:p>
      <w:r>
        <w:t>Systematische Anforderungsanalyse mit 12 Patienten und 6 Rheumatologen, gefolgt von Prototypentwicklung und Bewertung durch 8 Patienten über 1 Woche.</w:t>
      </w:r>
    </w:p>
    <w:p>
      <w:r>
        <w:rPr>
          <w:b/>
        </w:rPr>
        <w:t xml:space="preserve">Ergebnis: </w:t>
      </w:r>
      <w:r>
        <w:t>Von 70 Anforderungen erfüllten 61 (87 %) das Einschlusskriterium (≥75 %); Usability-Rating durch Patienten: Mittelwert 7,5 von 9; vier Funktionsbereiche: Benutzerprofil, Lebensstil, Krankheitsmanagement, App-Features.</w:t>
      </w:r>
    </w:p>
    <w:p>
      <w:r>
        <w:rPr>
          <w:b/>
          <w:sz w:val="19"/>
        </w:rPr>
        <w:t xml:space="preserve">Übertragbarkeit: </w:t>
      </w:r>
      <w:r>
        <w:rPr>
          <w:sz w:val="19"/>
        </w:rPr>
        <w:t>Iran; Patientenbeteiligung und bedarfsorientiertes Design, längerfristige Validierung ausstehend</w:t>
      </w:r>
    </w:p>
    <w:p>
      <w:r>
        <w:rPr>
          <w:color w:val="5A7D3A"/>
          <w:sz w:val="18"/>
        </w:rPr>
        <w:t>https://pubmed.ncbi.nlm.nih.gov/42852649/</w:t>
      </w:r>
    </w:p>
    <w:p>
      <w:pPr>
        <w:pStyle w:val="Heading2"/>
      </w:pPr>
      <w:r>
        <w:t>Cross-border Gesundheitsdaten-Sharing: Rechtliche und ethische Herausforderungen in Europa</w:t>
      </w:r>
    </w:p>
    <w:p>
      <w:r>
        <w:rPr>
          <w:i/>
          <w:color w:val="666666"/>
          <w:sz w:val="18"/>
        </w:rPr>
        <w:t>Liu J et al.  ·  Health Policy  ·  18.09.2026  ·  PMID 42800264</w:t>
      </w:r>
    </w:p>
    <w:p>
      <w:r>
        <w:t>Normative Policy-Analyse des ICUData4EU-Programms zur Bewertung von Struktur, Governance und rechtlichen Auswirkungen föderierter Intensivmedizin-Daten unter GDPR und European Health Data Space.</w:t>
      </w:r>
    </w:p>
    <w:p>
      <w:r>
        <w:rPr>
          <w:b/>
        </w:rPr>
        <w:t xml:space="preserve">Ergebnis: </w:t>
      </w:r>
      <w:r>
        <w:t>ICUData4EU ermöglicht Datenanalyse in lokalen Krankenhausmilieus mit Fernzugriff auf aggregierte Ergebnisse (föderiertes Modell); Analyse zeigt Potenzial für Forschung, aber noch offene rechtliche und ethische Herausforderungen bezüglich GDPR-, EHDS-Compliance und ungleiche Datenschutzrisiken zwischen Ländern.</w:t>
      </w:r>
    </w:p>
    <w:p>
      <w:r>
        <w:rPr>
          <w:b/>
          <w:sz w:val="19"/>
        </w:rPr>
        <w:t xml:space="preserve">Übertragbarkeit: </w:t>
      </w:r>
      <w:r>
        <w:rPr>
          <w:sz w:val="19"/>
        </w:rPr>
        <w:t>EU-Regulierungsrahmen; Deutschland und Partnerländer; praktisches Beispiel für EHDS-Umsetzung</w:t>
      </w:r>
    </w:p>
    <w:p>
      <w:r>
        <w:rPr>
          <w:color w:val="5A7D3A"/>
          <w:sz w:val="18"/>
        </w:rPr>
        <w:t>https://pubmed.ncbi.nlm.nih.gov/42800264/</w:t>
      </w:r>
    </w:p>
    <w:p>
      <w:pPr>
        <w:pStyle w:val="Heading2"/>
      </w:pPr>
      <w:r>
        <w:t>Blutdrucksenker in hypertensiven Schwangerschaften: Target Trial Emulation mit niederländischen EHR-Daten</w:t>
      </w:r>
    </w:p>
    <w:p>
      <w:r>
        <w:rPr>
          <w:i/>
          <w:color w:val="666666"/>
          <w:sz w:val="18"/>
        </w:rPr>
        <w:t>Hup RJ et al.  ·  BMJ Open  ·  22.09.2026  ·  PMID 42772874</w:t>
      </w:r>
    </w:p>
    <w:p>
      <w:r>
        <w:t>Protokoll für observationale Studie zur Vergleichung von Methyldopa, Labetalol und Nifedipin in hypertensiven Schwangerschaften mittels elektronischer Patientendaten aus vier universitären und zwei kommunalen Krankenhäusern (2006–2025).</w:t>
      </w:r>
    </w:p>
    <w:p>
      <w:r>
        <w:rPr>
          <w:b/>
        </w:rPr>
        <w:t xml:space="preserve">Ergebnis: </w:t>
      </w:r>
      <w:r>
        <w:t>Studienprotokoll; geplant: Weighted multivariable mixed-effects Regressionsmodelle für primäre Outcomes (schwere Hypertonie, small for gestational age &lt;3. Perzentile) und sekundäre Outcomes (Präeklampsie, Nierenschaden, Intensivstationsaufnahme, perinatale Mortalität); Ethik genehmigt.</w:t>
      </w:r>
    </w:p>
    <w:p>
      <w:r>
        <w:rPr>
          <w:b/>
          <w:sz w:val="19"/>
        </w:rPr>
        <w:t xml:space="preserve">Übertragbarkeit: </w:t>
      </w:r>
      <w:r>
        <w:rPr>
          <w:sz w:val="19"/>
        </w:rPr>
        <w:t>Niederlande; vergleichbares Gesundheitssystem und Dokumentationspflichten, pragmatisches RCT-Emulations-Design</w:t>
      </w:r>
    </w:p>
    <w:p>
      <w:r>
        <w:rPr>
          <w:color w:val="5A7D3A"/>
          <w:sz w:val="18"/>
        </w:rPr>
        <w:t>https://pubmed.ncbi.nlm.nih.gov/42772874/</w:t>
      </w:r>
    </w:p>
    <w:p>
      <w:pPr>
        <w:pStyle w:val="Heading2"/>
      </w:pPr>
      <w:r>
        <w:t>Ethische Analyse von KI in der Organtransplantation: Framework für Verantwortlichkeit</w:t>
      </w:r>
    </w:p>
    <w:p>
      <w:r>
        <w:rPr>
          <w:i/>
          <w:color w:val="666666"/>
          <w:sz w:val="18"/>
        </w:rPr>
        <w:t>Primc N  ·  Transpl Int  ·  04.09.2026  ·  PMID 42761011</w:t>
      </w:r>
    </w:p>
    <w:p>
      <w:r>
        <w:t>Qualitative normative Analyse zur systematischen Abbildung von KI-Einsatzbereichen in der Transplantationsprozess und deren ethische Implikationen für Spender, Empfänger und Öffentlichkeit.</w:t>
      </w:r>
    </w:p>
    <w:p>
      <w:r>
        <w:rPr>
          <w:b/>
        </w:rPr>
        <w:t xml:space="preserve">Ergebnis: </w:t>
      </w:r>
      <w:r>
        <w:t>Framework beschreibt stakeholder-spezifische ethische Verpflichtungen über Transplantationsphasen: Donorenidentifikation (patientenzentriert), Allokation (Verteilungsgerechtigkeit), perioperative Phase (professionelle Verantwortung); AI-assisted organ allocation als Beispielfall analysiert.</w:t>
      </w:r>
    </w:p>
    <w:p>
      <w:r>
        <w:rPr>
          <w:b/>
          <w:sz w:val="19"/>
        </w:rPr>
        <w:t xml:space="preserve">Übertragbarkeit: </w:t>
      </w:r>
      <w:r>
        <w:rPr>
          <w:sz w:val="19"/>
        </w:rPr>
        <w:t>Österreich; theoretischer Rahmen für europäische Transplantationspraxis und Regulierung</w:t>
      </w:r>
    </w:p>
    <w:p>
      <w:r>
        <w:rPr>
          <w:color w:val="5A7D3A"/>
          <w:sz w:val="18"/>
        </w:rPr>
        <w:t>https://pubmed.ncbi.nlm.nih.gov/42761011/</w:t>
      </w:r>
    </w:p>
    <w:p>
      <w:pPr>
        <w:pStyle w:val="Heading1"/>
      </w:pPr>
      <w:r>
        <w:t>Aufgenommen am 10.10.2026</w:t>
      </w:r>
    </w:p>
    <w:p>
      <w:pPr>
        <w:pStyle w:val="Heading2"/>
      </w:pPr>
      <w:r>
        <w:t>Strukturiertes Bestellsystem in der Notfall-ICU-Aufnahme reduziert Dokumentationsfehler um 46 %</w:t>
      </w:r>
    </w:p>
    <w:p>
      <w:r>
        <w:rPr>
          <w:i/>
          <w:color w:val="666666"/>
          <w:sz w:val="18"/>
        </w:rPr>
        <w:t>Chien DK et al.  ·  JMIR Form Res  ·  09.10.2026  ·  PMID 42854259</w:t>
      </w:r>
    </w:p>
    <w:p>
      <w:r>
        <w:t>Eine retrospektive Analyse vergleich traditionelle und digitale Bestellsysteme bei der Aufnahme von Notfall- in Intensivpatienten und quantifizierte Auswirkungen auf Bestellgültigkeit, Fehler und Workflow-Alignment.</w:t>
      </w:r>
    </w:p>
    <w:p>
      <w:r>
        <w:rPr>
          <w:b/>
        </w:rPr>
        <w:t xml:space="preserve">Ergebnis: </w:t>
      </w:r>
      <w:r>
        <w:t>Das aktualisierte digitale System erhöhte die Bestellgültigkeit von 54,1 % auf 75,4 % (RR 1,39; p&lt;0,001) und reduzierte fehlerhafte Bestellungen von 45,9 % auf 24,6 % (RR 0,54; p&lt;0,001). Die Reservierungsabstimmung verbesserte sich von 0,68 auf 0,78 (p=0,03).</w:t>
      </w:r>
    </w:p>
    <w:p>
      <w:r>
        <w:rPr>
          <w:b/>
          <w:sz w:val="19"/>
        </w:rPr>
        <w:t xml:space="preserve">Übertragbarkeit: </w:t>
      </w:r>
      <w:r>
        <w:rPr>
          <w:sz w:val="19"/>
        </w:rPr>
        <w:t>Taiwan, strukturierte elektronische Systeme übertragbar auf europäische Workflows</w:t>
      </w:r>
    </w:p>
    <w:p>
      <w:r>
        <w:rPr>
          <w:color w:val="5A7D3A"/>
          <w:sz w:val="18"/>
        </w:rPr>
        <w:t>https://pubmed.ncbi.nlm.nih.gov/42854259/</w:t>
      </w:r>
    </w:p>
    <w:p>
      <w:pPr>
        <w:pStyle w:val="Heading2"/>
      </w:pPr>
      <w:r>
        <w:t>Mental-Health-Apps bei Nutzern: Abbruch signalisiert oft erfolgreiche Skill-Übertragung, nicht Misserfolg</w:t>
      </w:r>
    </w:p>
    <w:p>
      <w:r>
        <w:rPr>
          <w:i/>
          <w:color w:val="666666"/>
          <w:sz w:val="18"/>
        </w:rPr>
        <w:t>Suchý V et al.  ·  JMIR Mhealth Uhealth  ·  09.10.2026  ·  PMID 42854203</w:t>
      </w:r>
    </w:p>
    <w:p>
      <w:r>
        <w:t>Qualitative Studie mit 31 tschechischen App-Nutzern (semistrukturierte Interviews) zur Integration von Mental-Health-Apps in Alltag und Selbsthilfe.</w:t>
      </w:r>
    </w:p>
    <w:p>
      <w:r>
        <w:rPr>
          <w:b/>
        </w:rPr>
        <w:t xml:space="preserve">Ergebnis: </w:t>
      </w:r>
      <w:r>
        <w:t>Drei Nutzungsmuster (regelmäßig, reaktiv, problem-fokussiert) und vier Trajectories (Emanzipation, Unabhängigkeit, Abhängigkeit, episodisch). Abbruch reflektiert oft erfolgreiche Skill-Übertragung in den Alltag, nicht Fehlschlag. Nutzer berichten Belastung durch Selbstmonitoring und Screen-Time-Zielkonflikt.</w:t>
      </w:r>
    </w:p>
    <w:p>
      <w:r>
        <w:rPr>
          <w:b/>
          <w:sz w:val="19"/>
        </w:rPr>
        <w:t xml:space="preserve">Übertragbarkeit: </w:t>
      </w:r>
      <w:r>
        <w:rPr>
          <w:sz w:val="19"/>
        </w:rPr>
        <w:t>Tschechien, EU-kompatible Datenschutzpraxis, Transfer zu europäischer Nutzerforschung</w:t>
      </w:r>
    </w:p>
    <w:p>
      <w:r>
        <w:rPr>
          <w:color w:val="5A7D3A"/>
          <w:sz w:val="18"/>
        </w:rPr>
        <w:t>https://pubmed.ncbi.nlm.nih.gov/42854203/</w:t>
      </w:r>
    </w:p>
    <w:p>
      <w:pPr>
        <w:pStyle w:val="Heading2"/>
      </w:pPr>
      <w:r>
        <w:t>Digitale Interventionen bei ADHS-Symptomen bei Kindern: Serious Games wirken 6–8 Wochen am besten</w:t>
      </w:r>
    </w:p>
    <w:p>
      <w:r>
        <w:rPr>
          <w:i/>
          <w:color w:val="666666"/>
          <w:sz w:val="18"/>
        </w:rPr>
        <w:t>Wang A et al.  ·  J Med Internet Res  ·  09.10.2026  ·  PMID 42854193</w:t>
      </w:r>
    </w:p>
    <w:p>
      <w:r>
        <w:t>Systematische Übersicht und Meta-Analyse von 37 RCTs (4 Interventionstypen) zur Wirkung digitaler Technologien auf Kernsymptome und kognitive Funktionen bei Kindern mit ADHS.</w:t>
      </w:r>
    </w:p>
    <w:p>
      <w:r>
        <w:rPr>
          <w:b/>
        </w:rPr>
        <w:t xml:space="preserve">Ergebnis: </w:t>
      </w:r>
      <w:r>
        <w:t>Digitale Interventionen linderten Kernsymptome signifikant (Effekt primär durch Serious Games, p=0,02) und kognitive Beeinträchtigungen (hauptsächlich computergestützte Interventionen p=0,04, Serious Games p=0,02). Stärkere Effekte bei jüngeren Kindern (&lt;10 Jahren) und Intervention ≤8 Wochen Dauer.</w:t>
      </w:r>
    </w:p>
    <w:p>
      <w:r>
        <w:rPr>
          <w:b/>
          <w:sz w:val="19"/>
        </w:rPr>
        <w:t xml:space="preserve">Übertragbarkeit: </w:t>
      </w:r>
      <w:r>
        <w:rPr>
          <w:sz w:val="19"/>
        </w:rPr>
        <w:t>Studienpopulation überwiegend europäisch und nordamerikanisch, Interventionstypen in Deutschland verfügbar</w:t>
      </w:r>
    </w:p>
    <w:p>
      <w:r>
        <w:rPr>
          <w:color w:val="5A7D3A"/>
          <w:sz w:val="18"/>
        </w:rPr>
        <w:t>https://pubmed.ncbi.nlm.nih.gov/42854193/</w:t>
      </w:r>
    </w:p>
    <w:p>
      <w:pPr>
        <w:pStyle w:val="Heading2"/>
      </w:pPr>
      <w:r>
        <w:t>Machine-Learning-Modell für Sterblichkeit in Neurokritik: AUROC 0,841 intern, 0,801 extern validiert</w:t>
      </w:r>
    </w:p>
    <w:p>
      <w:r>
        <w:rPr>
          <w:i/>
          <w:color w:val="666666"/>
          <w:sz w:val="18"/>
        </w:rPr>
        <w:t>Cheng X et al.  ·  Front Neurol  ·  24.09.2026  ·  PMID 42851912</w:t>
      </w:r>
    </w:p>
    <w:p>
      <w:r>
        <w:t>Retrospektive Kohortenstudie mit MIMIC-IV (n=6.842) und eICU-CRD (n=5.236) zur Entwicklung und externen Validierung eines interpretierbaren ML-Modells für frühe Sterblichkeitsprognose in Neurokritik.</w:t>
      </w:r>
    </w:p>
    <w:p>
      <w:r>
        <w:rPr>
          <w:b/>
        </w:rPr>
        <w:t xml:space="preserve">Ergebnis: </w:t>
      </w:r>
      <w:r>
        <w:t>LightGBM zeigte beste Leistung: interne Test-AUROC 0,841 (KI 0,821–0,861), externe Validierung AUROC 0,801 (KI 0,779–0,824), Sensitivität 72,8 %, Spezifität 73,9 %, NPV 94,7 %. Kalibrierung akzeptabel (Brier 0,101). Hauptprädiktoren: GCS, mechanische Beatmung, Alter, Laktat.</w:t>
      </w:r>
    </w:p>
    <w:p>
      <w:r>
        <w:rPr>
          <w:b/>
          <w:sz w:val="19"/>
        </w:rPr>
        <w:t xml:space="preserve">Übertragbarkeit: </w:t>
      </w:r>
      <w:r>
        <w:rPr>
          <w:sz w:val="19"/>
        </w:rPr>
        <w:t>Multinationale öffentliche ICU-Datenbanken, externe Validierung vorliegen, aber Implementierung vor prospektiver Validierung in Europa nicht empfohlen</w:t>
      </w:r>
    </w:p>
    <w:p>
      <w:r>
        <w:rPr>
          <w:color w:val="5A7D3A"/>
          <w:sz w:val="18"/>
        </w:rPr>
        <w:t>https://pubmed.ncbi.nlm.nih.gov/42851912/</w:t>
      </w:r>
    </w:p>
    <w:p>
      <w:pPr>
        <w:pStyle w:val="Heading2"/>
      </w:pPr>
      <w:r>
        <w:t>LLM-strukturierte Onkologie-Berichte verbessern Findbarkeit von Informationen 4,3-fach</w:t>
      </w:r>
    </w:p>
    <w:p>
      <w:r>
        <w:rPr>
          <w:i/>
          <w:color w:val="666666"/>
          <w:sz w:val="18"/>
        </w:rPr>
        <w:t>Busch F et al.  ·  Cancer Imaging  ·  08.10.2026  ·  PMID 42850632</w:t>
      </w:r>
    </w:p>
    <w:p>
      <w:r>
        <w:t>Prospektive Paired-Studie mit 66 Multiprofessionals zur Bewertung von LLM-strukturierten versus Freitext-CT-Befunden in der Onkologie mittels standardisierter 12-Item-Likert-Skalen.</w:t>
      </w:r>
    </w:p>
    <w:p>
      <w:r>
        <w:rPr>
          <w:b/>
        </w:rPr>
        <w:t xml:space="preserve">Ergebnis: </w:t>
      </w:r>
      <w:r>
        <w:t>Strukturierte Berichte zeigten signifikant höhere Zustimmungsraten für 11 von 12 Items (OR 1,70–4,81). Stärkste Effekte für klinischen Nutzen (OR 4,81; KI 3,24–7,15), Informationsfindbarkeit (OR 4,31; KI 3,12–5,96) und Klarheit von Empfehlungen (OR 4,14; KI 2,95–5,83).</w:t>
      </w:r>
    </w:p>
    <w:p>
      <w:r>
        <w:rPr>
          <w:b/>
          <w:sz w:val="19"/>
        </w:rPr>
        <w:t xml:space="preserve">Übertragbarkeit: </w:t>
      </w:r>
      <w:r>
        <w:rPr>
          <w:sz w:val="19"/>
        </w:rPr>
        <w:t>Deutschland, Münchner Universitätsklinik, vergleichbare Dokumentationsanforderungen</w:t>
      </w:r>
    </w:p>
    <w:p>
      <w:r>
        <w:rPr>
          <w:color w:val="5A7D3A"/>
          <w:sz w:val="18"/>
        </w:rPr>
        <w:t>https://pubmed.ncbi.nlm.nih.gov/42850632/</w:t>
      </w:r>
    </w:p>
    <w:p>
      <w:pPr>
        <w:pStyle w:val="Heading2"/>
      </w:pPr>
      <w:r>
        <w:t>KI-Modell zur TB-Triage in Usbekistan: lokal angepasst AUC 0,990, aber ohne externe Validierung</w:t>
      </w:r>
    </w:p>
    <w:p>
      <w:r>
        <w:rPr>
          <w:i/>
          <w:color w:val="666666"/>
          <w:sz w:val="18"/>
        </w:rPr>
        <w:t>Shakarbaev N et al.  ·  Int J Med Inform  ·  22.09.2026  ·  PMID 42784986</w:t>
      </w:r>
    </w:p>
    <w:p>
      <w:r>
        <w:t>Lokale Anpassung eines öffentlichen Thorax-Röntgen-KI-Klassifikators für Tuberkulose-Triage an usbekische Daten mit interner Validierung und explorativer Workstation-Integration.</w:t>
      </w:r>
    </w:p>
    <w:p>
      <w:r>
        <w:rPr>
          <w:b/>
        </w:rPr>
        <w:t xml:space="preserve">Ergebnis: </w:t>
      </w:r>
      <w:r>
        <w:t>Im gehaltenen Test (n=76, 15 TB+) erreichte das angepasste Modell AUC 0,9902 (KI 0,9694–1,0000), F1 0,9375, Precision-Recall-AUC 0,9557. Unterschied zur öffentlichen Baseline nicht signifikant (p=0,4864). Keine Institution-externe Validierung.</w:t>
      </w:r>
    </w:p>
    <w:p>
      <w:r>
        <w:rPr>
          <w:b/>
          <w:sz w:val="19"/>
        </w:rPr>
        <w:t xml:space="preserve">Übertragbarkeit: </w:t>
      </w:r>
      <w:r>
        <w:rPr>
          <w:sz w:val="19"/>
        </w:rPr>
        <w:t>Zentralasien, kleine gehaltene Testmenge (n=15 Fälle), keine Screening-Performance nachgewiesen</w:t>
      </w:r>
    </w:p>
    <w:p>
      <w:r>
        <w:rPr>
          <w:color w:val="5A7D3A"/>
          <w:sz w:val="18"/>
        </w:rPr>
        <w:t>https://pubmed.ncbi.nlm.nih.gov/42784986/</w:t>
      </w:r>
    </w:p>
    <w:p>
      <w:pPr>
        <w:pStyle w:val="Heading1"/>
      </w:pPr>
      <w:r>
        <w:t>Aufgenommen am 09.10.2026</w:t>
      </w:r>
    </w:p>
    <w:p>
      <w:pPr>
        <w:pStyle w:val="Heading2"/>
      </w:pPr>
      <w:r>
        <w:t>Digitale Schlaganfallbenachrichtigung im Rettungsdienst: Brain Saver App verkürzt Behandlungszeiten</w:t>
      </w:r>
    </w:p>
    <w:p>
      <w:r>
        <w:rPr>
          <w:i/>
          <w:color w:val="666666"/>
          <w:sz w:val="18"/>
        </w:rPr>
        <w:t>Kim E et al.  ·  JMIR Med Inform  ·  08.10.2026  ·  PMID 42849893</w:t>
      </w:r>
    </w:p>
    <w:p>
      <w:r>
        <w:t>Pilot-Studie eines mobilen Apps (Brain Saver) für Echtzeit-Datenaustausch zwischen Rettungsdienst und Notaufnahme bei Schlaganfall-Transport in Südkorea (n=34 Interventions-, n=129 Kontrollgruppe).</w:t>
      </w:r>
    </w:p>
    <w:p>
      <w:r>
        <w:rPr>
          <w:b/>
        </w:rPr>
        <w:t xml:space="preserve">Ergebnis: </w:t>
      </w:r>
      <w:r>
        <w:t>Mediane Onset-to-Needle Zeit kürzer in Interventionsgruppe (114 vs. 204 Minuten, p=0,03). Nach Matching und adjustierter Analyse: Reduktion door-to-needle time (Exp(β)=0,67, p=0,04) und onset-to-needle time (Exp(β)=0,49, p=0,009). Digitale Koordination verbessert Versorgungstimeliness messbar; größere Studien für Skalierbarkeit erforderlich.</w:t>
      </w:r>
    </w:p>
    <w:p>
      <w:r>
        <w:rPr>
          <w:b/>
          <w:sz w:val="19"/>
        </w:rPr>
        <w:t xml:space="preserve">Übertragbarkeit: </w:t>
      </w:r>
      <w:r>
        <w:rPr>
          <w:sz w:val="19"/>
        </w:rPr>
        <w:t>Südkorea, mittlere strukturelle Übertragbarkeit; Kernbefund zur Zeitersparnis ist systemunabhängig.</w:t>
      </w:r>
    </w:p>
    <w:p>
      <w:r>
        <w:rPr>
          <w:color w:val="5A7D3A"/>
          <w:sz w:val="18"/>
        </w:rPr>
        <w:t>https://pubmed.ncbi.nlm.nih.gov/42849893/</w:t>
      </w:r>
    </w:p>
    <w:p>
      <w:pPr>
        <w:pStyle w:val="Heading2"/>
      </w:pPr>
      <w:r>
        <w:t>LLM-basierte Analyse von DiGA-Bewertungen: Was Nutzer über digitale Gesundheitsanwendungen berichten</w:t>
      </w:r>
    </w:p>
    <w:p>
      <w:r>
        <w:rPr>
          <w:i/>
          <w:color w:val="666666"/>
          <w:sz w:val="18"/>
        </w:rPr>
        <w:t>Kinast B et al.  ·  JMIR Hum Factors  ·  08.10.2026  ·  PMID 42849059</w:t>
      </w:r>
    </w:p>
    <w:p>
      <w:r>
        <w:t>Analyse von 4.328 App-Store-Bewertungen zu 44 zertifizierten deutschen DiGAs mit GPT-4o zur Erfassung wiederkehrender Nutzererfahrungen.</w:t>
      </w:r>
    </w:p>
    <w:p>
      <w:r>
        <w:rPr>
          <w:b/>
        </w:rPr>
        <w:t xml:space="preserve">Ergebnis: </w:t>
      </w:r>
      <w:r>
        <w:t>Positive Bewertungen zu Effektivität (89,5%) und Gesamteindruck (86,2%), aber schwerwiegende technische Barrieren: Login/Registrierung zu 93,9% negativ bewertet, Technologie-Aspekte zu 84,3% kritisiert. LLM-Klassifikation erreichte 99% Genauigkeit für Sentiment, 95% für Kategorien. Persistente Zugangsbarrieren gefährden DiGA-Nutzung trotz positiver Effektivitätswahrnehmung.</w:t>
      </w:r>
    </w:p>
    <w:p>
      <w:r>
        <w:rPr>
          <w:b/>
          <w:sz w:val="19"/>
        </w:rPr>
        <w:t xml:space="preserve">Übertragbarkeit: </w:t>
      </w:r>
      <w:r>
        <w:rPr>
          <w:sz w:val="19"/>
        </w:rPr>
        <w:t>Deutschland, offizielle DiGA-Liste, direkt auf deutsche Versorgung übertragbar.</w:t>
      </w:r>
    </w:p>
    <w:p>
      <w:r>
        <w:rPr>
          <w:color w:val="5A7D3A"/>
          <w:sz w:val="18"/>
        </w:rPr>
        <w:t>https://pubmed.ncbi.nlm.nih.gov/42849059/</w:t>
      </w:r>
    </w:p>
    <w:p>
      <w:pPr>
        <w:pStyle w:val="Heading2"/>
      </w:pPr>
      <w:r>
        <w:t>Telemedizin-Ungleichheiten in Japan 2020–2024: Alter und sozioökonomischer Status widersprechen Diffusionstheorie</w:t>
      </w:r>
    </w:p>
    <w:p>
      <w:r>
        <w:rPr>
          <w:i/>
          <w:color w:val="666666"/>
          <w:sz w:val="18"/>
        </w:rPr>
        <w:t>Ito H et al.  ·  J Med Internet Res  ·  08.10.2026  ·  PMID 42849039</w:t>
      </w:r>
    </w:p>
    <w:p>
      <w:r>
        <w:t>Longitudinale Panel-Umfrage zur Telemedizin-Adoption über vier Jahre in 10.818 japanischen Teilnehmern (18–75 Jahre) mit Stratifizierung nach Alter und Sozioökonomie.</w:t>
      </w:r>
    </w:p>
    <w:p>
      <w:r>
        <w:rPr>
          <w:b/>
        </w:rPr>
        <w:t xml:space="preserve">Ergebnis: </w:t>
      </w:r>
      <w:r>
        <w:t>Gesamtadoption stieg 2020–2024 von 2,6% auf 7%. Aber Ungleichheiten vergrößerten sich: Altersgruppe 70–75 Jahre +1,0 Pp, vs. 18–29 Jahre +13,1 Pp (DID −12,1 Pp, 95% KI −18,2 bis −5,9). Arbeitslose zeigten geringeren Zuwachs als obere Berufsgruppen (+2,8 vs. +5,7 Pp, DID −2,9 Pp). Digitalisierung ohne Equity-Fokus verschärft Zugangsbarrieren für vulnerable Gruppen.</w:t>
      </w:r>
    </w:p>
    <w:p>
      <w:r>
        <w:rPr>
          <w:b/>
          <w:sz w:val="19"/>
        </w:rPr>
        <w:t xml:space="preserve">Übertragbarkeit: </w:t>
      </w:r>
      <w:r>
        <w:rPr>
          <w:sz w:val="19"/>
        </w:rPr>
        <w:t>Japan, aber Health-Equity-Befunde sind für deutsches Gesundheitswesen strukturell relevant.</w:t>
      </w:r>
    </w:p>
    <w:p>
      <w:r>
        <w:rPr>
          <w:color w:val="5A7D3A"/>
          <w:sz w:val="18"/>
        </w:rPr>
        <w:t>https://pubmed.ncbi.nlm.nih.gov/42849039/</w:t>
      </w:r>
    </w:p>
    <w:p>
      <w:pPr>
        <w:pStyle w:val="Heading2"/>
      </w:pPr>
      <w:r>
        <w:t>Digitaler Perinatal-Navigator für Hochrisikoschwangerschaften: Machbarkeit und Usability</w:t>
      </w:r>
    </w:p>
    <w:p>
      <w:r>
        <w:rPr>
          <w:i/>
          <w:color w:val="666666"/>
          <w:sz w:val="18"/>
        </w:rPr>
        <w:t>Foerstel M et al.  ·  J Med Internet Res  ·  08.10.2026  ·  PMID 42849035</w:t>
      </w:r>
    </w:p>
    <w:p>
      <w:r>
        <w:t>Machbarkeitsstudie eines Navigators mit personalisierten Handlungsempfehlungen und Anbindung an Unterstützungsservices bei Hochrisikopatientinnen an deutschem Universitätsklinikum (n=35 mit Psychometrie).</w:t>
      </w:r>
    </w:p>
    <w:p>
      <w:r>
        <w:rPr>
          <w:b/>
        </w:rPr>
        <w:t xml:space="preserve">Ergebnis: </w:t>
      </w:r>
      <w:r>
        <w:t>System Usability Scale Median 80 (IQR 17,5), mHealth App Usability Questionnaire Median 111 (IQR 28). Wissen über Angebote stieg signifikant (+1,2 Punkte, p&lt;0,01). Barriereanalyse: intuitive Struktur, vertrauenswürdiger Inhalt und Personalisierung als Erfolgsfaktoren; technische Ausfälle, Navigation und regionale Integrationslücken als Haupthürden.</w:t>
      </w:r>
    </w:p>
    <w:p>
      <w:r>
        <w:rPr>
          <w:b/>
          <w:sz w:val="19"/>
        </w:rPr>
        <w:t xml:space="preserve">Übertragbarkeit: </w:t>
      </w:r>
      <w:r>
        <w:rPr>
          <w:sz w:val="19"/>
        </w:rPr>
        <w:t>Deutschland (Heidelberg), vergleichbare Versorgungsstrukturen und Dokumentationspflichten.</w:t>
      </w:r>
    </w:p>
    <w:p>
      <w:r>
        <w:rPr>
          <w:color w:val="5A7D3A"/>
          <w:sz w:val="18"/>
        </w:rPr>
        <w:t>https://pubmed.ncbi.nlm.nih.gov/42849035/</w:t>
      </w:r>
    </w:p>
    <w:p>
      <w:pPr>
        <w:pStyle w:val="Heading2"/>
      </w:pPr>
      <w:r>
        <w:t>KI-gestützte Karotis-Sonografie für Laien in der Primärversorgung: nutzergerechte iterative Entwicklung</w:t>
      </w:r>
    </w:p>
    <w:p>
      <w:r>
        <w:rPr>
          <w:i/>
          <w:color w:val="666666"/>
          <w:sz w:val="18"/>
        </w:rPr>
        <w:t>Sjöström A et al.  ·  J Med Internet Res  ·  08.10.2026  ·  PMID 42849032</w:t>
      </w:r>
    </w:p>
    <w:p>
      <w:r>
        <w:t>Iterativer Entwicklungsprozess eines KI-Systems mit Echtzeit-Führung zur Durchführung von Karotis-Ultraschall durch Assistenzpersonen in schwedischen Hausarztpraxen (urban, ländlich, abgelegen).</w:t>
      </w:r>
    </w:p>
    <w:p>
      <w:r>
        <w:rPr>
          <w:b/>
        </w:rPr>
        <w:t xml:space="preserve">Ergebnis: </w:t>
      </w:r>
      <w:r>
        <w:t>Qualitative Analyse identifizierte vier Implementierungsfaktoren: Passung zur Alltagspraxis, Systemguidance als Voraussetzung, Peer-Learning für Vertrauen, Patientenkommunikation. Beobachtete Usability-Probleme führten zu iterativen Verbesserungen (Navigation, Dateneingabe, Audio-Feedback, Probe-Unterstützung). Keine numerischen Outcomes verfügbar; Fokus auf Gebrauchstauglichkeit und Workflow-Integration für Nicht-Spezialisten.</w:t>
      </w:r>
    </w:p>
    <w:p>
      <w:r>
        <w:rPr>
          <w:b/>
          <w:sz w:val="19"/>
        </w:rPr>
        <w:t xml:space="preserve">Übertragbarkeit: </w:t>
      </w:r>
      <w:r>
        <w:rPr>
          <w:sz w:val="19"/>
        </w:rPr>
        <w:t>Skandinavien (höherer Digitalisierungsgrad), aber nutzergerechte Designprinzipien auf Deutschland übertragbar.</w:t>
      </w:r>
    </w:p>
    <w:p>
      <w:r>
        <w:rPr>
          <w:color w:val="5A7D3A"/>
          <w:sz w:val="18"/>
        </w:rPr>
        <w:t>https://pubmed.ncbi.nlm.nih.gov/42849032/</w:t>
      </w:r>
    </w:p>
    <w:p>
      <w:pPr>
        <w:pStyle w:val="Heading2"/>
      </w:pPr>
      <w:r>
        <w:t>KI-gestützte Prostatamagnetic Resonance Imaging im NHS: von Validierung zu klinischer Praxis</w:t>
      </w:r>
    </w:p>
    <w:p>
      <w:r>
        <w:rPr>
          <w:i/>
          <w:color w:val="666666"/>
          <w:sz w:val="18"/>
        </w:rPr>
        <w:t>Adesuyi A et al.  ·  Br J Nurs  ·  08.10.2026  ·  PMID 42848705</w:t>
      </w:r>
    </w:p>
    <w:p>
      <w:r>
        <w:t>Perspektivbeitrag basierend auf praktischer Erfahrung aus der Implementierung eines KI-Systems für Prostatamagnetic Resonance Imaging-Analyse in englischem Allgemeinkrankenhaus (governance-zentrierter Ansatz).</w:t>
      </w:r>
    </w:p>
    <w:p>
      <w:r>
        <w:rPr>
          <w:b/>
        </w:rPr>
        <w:t xml:space="preserve">Ergebnis: </w:t>
      </w:r>
      <w:r>
        <w:t>Fokus auf Governance, Sicherheit und Pathway-Integration statt nur Algorithmusleistung. Hauptmerkmal: Human-in-the-Loop-Sicherheit, individuum-zentriertes Pathway-Design und Priorisierung von Fairness und professioneller Autonomie. Keine quantitativen Outcome-Daten; Konzept-Beitrag zur ethischen KI-Implementierung.</w:t>
      </w:r>
    </w:p>
    <w:p>
      <w:r>
        <w:rPr>
          <w:b/>
          <w:sz w:val="19"/>
        </w:rPr>
        <w:t xml:space="preserve">Übertragbarkeit: </w:t>
      </w:r>
      <w:r>
        <w:rPr>
          <w:sz w:val="19"/>
        </w:rPr>
        <w:t>Vereinigtes Königreich (NHS), übertragbar auf deutsches System bezüglich Governance und klinischer Integration.</w:t>
      </w:r>
    </w:p>
    <w:p>
      <w:r>
        <w:rPr>
          <w:color w:val="5A7D3A"/>
          <w:sz w:val="18"/>
        </w:rPr>
        <w:t>https://pubmed.ncbi.nlm.nih.gov/42848705/</w:t>
      </w:r>
    </w:p>
    <w:p>
      <w:pPr>
        <w:pStyle w:val="Heading1"/>
      </w:pPr>
      <w:r>
        <w:t>Aufgenommen am 08.10.2026</w:t>
      </w:r>
    </w:p>
    <w:p>
      <w:pPr>
        <w:pStyle w:val="Heading2"/>
      </w:pPr>
      <w:r>
        <w:t>KI-gestützte Prognosevorhersage im Schlaganfall: Echtzeit-Validierung in Klinikroutine</w:t>
      </w:r>
    </w:p>
    <w:p>
      <w:r>
        <w:rPr>
          <w:i/>
          <w:color w:val="666666"/>
          <w:sz w:val="18"/>
        </w:rPr>
        <w:t>Rubiera M et al.  ·  BMJ Open  ·  07.10.2026  ·  PMID 42843886</w:t>
      </w:r>
    </w:p>
    <w:p>
      <w:r>
        <w:t>Prospektive Studie zur Echtzeit-Validierung eines KI-Systems für individualisierte 3-Monats-Outcomes nach Schlaganfall in Schattenmode an 3 europäischen Schlaganfallzentren; Messung der klinischen Machbarkeit, Usability und Vorhersagegüte beim hyperakuten Behandlungsprozess.</w:t>
      </w:r>
    </w:p>
    <w:p>
      <w:r>
        <w:rPr>
          <w:b/>
        </w:rPr>
        <w:t xml:space="preserve">Ergebnis: </w:t>
      </w:r>
      <w:r>
        <w:t>Studienprotokoll (Rekrutierung läuft); primäre Ergebnisse zu Machbarkeit, Usability und Vorhersagegüte waren zum Zeitpunkt der Publikation noch ausstehend. Sekundäre Endpunkte: Übereinstimmung zwischen KI-empfohlener und tatsächlicher Therapie sowie Validierung an Subgruppen.</w:t>
      </w:r>
    </w:p>
    <w:p>
      <w:r>
        <w:rPr>
          <w:b/>
          <w:sz w:val="19"/>
        </w:rPr>
        <w:t xml:space="preserve">Übertragbarkeit: </w:t>
      </w:r>
      <w:r>
        <w:rPr>
          <w:sz w:val="19"/>
        </w:rPr>
        <w:t>Drei europäische Zentren (Spanien, Deutschland, Israel), vergleichbare Klinikstrukturen.</w:t>
      </w:r>
    </w:p>
    <w:p>
      <w:r>
        <w:rPr>
          <w:color w:val="5A7D3A"/>
          <w:sz w:val="18"/>
        </w:rPr>
        <w:t>https://pubmed.ncbi.nlm.nih.gov/42843886/</w:t>
      </w:r>
    </w:p>
    <w:p>
      <w:pPr>
        <w:pStyle w:val="Heading2"/>
      </w:pPr>
      <w:r>
        <w:t>Telemedizin in österreichischen Gefängnissen: Qualitative Implementierungsstudie</w:t>
      </w:r>
    </w:p>
    <w:p>
      <w:r>
        <w:rPr>
          <w:i/>
          <w:color w:val="666666"/>
          <w:sz w:val="18"/>
        </w:rPr>
        <w:t>Doppler K et al.  ·  BMJ Open  ·  07.10.2026  ·  PMID 42843879</w:t>
      </w:r>
    </w:p>
    <w:p>
      <w:r>
        <w:t>Qualitative Studie mit 48 Interviews (35 Pflegekräfte, 3 Ärzte, 7 Direktoren, 3 Beamte) zur Integration von Telemedizin in Haftkrankenstationen bei Ärztemangel; Erfassung von Nutzung, Herausforderungen und Bedingungen für nachhaltige Skalierung.</w:t>
      </w:r>
    </w:p>
    <w:p>
      <w:r>
        <w:rPr>
          <w:b/>
        </w:rPr>
        <w:t xml:space="preserve">Ergebnis: </w:t>
      </w:r>
      <w:r>
        <w:t>Telemedizin bewährte sich für Rezepturionen, Follow-ups, Befundbesprechungen und Verwaltungsaufgaben. Emergente Notfälle und körperliche Untersuchungen waren ungeeignet. Pflegekräfte als zentrale operative Akteure: Arbeitsbelastung stieg (Koordination) oder sank (weniger externe Transfers) je nach Kontext. Erfolg hing ab von technischer Zuverlässigkeit, stabiler Zuordnung der Fernkliniker und deren Kenntnis der Gegebenheiten.</w:t>
      </w:r>
    </w:p>
    <w:p>
      <w:r>
        <w:rPr>
          <w:b/>
          <w:sz w:val="19"/>
        </w:rPr>
        <w:t xml:space="preserve">Übertragbarkeit: </w:t>
      </w:r>
      <w:r>
        <w:rPr>
          <w:sz w:val="19"/>
        </w:rPr>
        <w:t>Österreich, vergleichbares Sozialversicherungssystem, europäische Regulierung.</w:t>
      </w:r>
    </w:p>
    <w:p>
      <w:r>
        <w:rPr>
          <w:color w:val="5A7D3A"/>
          <w:sz w:val="18"/>
        </w:rPr>
        <w:t>https://pubmed.ncbi.nlm.nih.gov/42843879/</w:t>
      </w:r>
    </w:p>
    <w:p>
      <w:pPr>
        <w:pStyle w:val="Heading2"/>
      </w:pPr>
      <w:r>
        <w:t>LLM-gestützte Erfassung kognitiver Sorgen in Elektronischen Patientenakten: Echtdatenstudie</w:t>
      </w:r>
    </w:p>
    <w:p>
      <w:r>
        <w:rPr>
          <w:i/>
          <w:color w:val="666666"/>
          <w:sz w:val="18"/>
        </w:rPr>
        <w:t>Wang L et al.  ·  JMIR Aging  ·  07.10.2026  ·  PMID 42842937</w:t>
      </w:r>
    </w:p>
    <w:p>
      <w:r>
        <w:t>EHR-Observationsstudie bei 15.750 älteren Patienten (≥65 Jahre) mit normalen kognitiven Tests; LLM-gestützte NLP-Verarbeitung von Freitext-Notizen zur Identifikation dokumentierter kognitiver Sorgen und Analyse von Erfassungsdeterminanten.</w:t>
      </w:r>
    </w:p>
    <w:p>
      <w:r>
        <w:rPr>
          <w:b/>
        </w:rPr>
        <w:t xml:space="preserve">Ergebnis: </w:t>
      </w:r>
      <w:r>
        <w:t>Von 15.750 Patienten hatten 13,8% (n=2.175) dokumentierte kognitive Sorgen im Vorjahr in 1,2% der Notizen. Zweistufiges LLM-Pipeline (Med42-v2-8B + GPT-4o): Sensitivität 0,957, PPV 0,935, Spezifität 0,985, F1-Score 0,945. Stärkste Korrelate: Parkinson (aOR 5,29), TBI (aOR 4,63), Schlaganfall (aOR 3,46), Depression (aOR 1,54). Dokumentation seltener in benachteiligten Stadtvierteln (höherer Area Deprivation Index).</w:t>
      </w:r>
    </w:p>
    <w:p>
      <w:r>
        <w:rPr>
          <w:b/>
          <w:sz w:val="19"/>
        </w:rPr>
        <w:t xml:space="preserve">Übertragbarkeit: </w:t>
      </w:r>
      <w:r>
        <w:rPr>
          <w:sz w:val="19"/>
        </w:rPr>
        <w:t>USA-Daten, aber NLP-Methodik und Equity-Befunde sind übertragbar; Anwendung auf deutsche EHR-Systeme möglich.</w:t>
      </w:r>
    </w:p>
    <w:p>
      <w:r>
        <w:rPr>
          <w:color w:val="5A7D3A"/>
          <w:sz w:val="18"/>
        </w:rPr>
        <w:t>https://pubmed.ncbi.nlm.nih.gov/42842937/</w:t>
      </w:r>
    </w:p>
    <w:p>
      <w:pPr>
        <w:pStyle w:val="Heading2"/>
      </w:pPr>
      <w:r>
        <w:t>WeChat-Messaging für Medikamentenadhärenz nach Herzkatheter: Quasi-experimentelle Studie</w:t>
      </w:r>
    </w:p>
    <w:p>
      <w:r>
        <w:rPr>
          <w:i/>
          <w:color w:val="666666"/>
          <w:sz w:val="18"/>
        </w:rPr>
        <w:t>Fang Y et al.  ·  J Med Internet Res  ·  07.10.2026  ·  PMID 42842839</w:t>
      </w:r>
    </w:p>
    <w:p>
      <w:r>
        <w:t>Quasi-experimentelle Studie mit 92 Patienten nach perkutaner Koronarintervention (PCI) in China; 12-Wochen-Intervention mit Behavior-Change-Wheel-gerahmten WeChat-Remindern und theoriegestützten Botschaften zu Fähigkeit, Gelegenheit und Motivation.</w:t>
      </w:r>
    </w:p>
    <w:p>
      <w:r>
        <w:rPr>
          <w:b/>
        </w:rPr>
        <w:t xml:space="preserve">Ergebnis: </w:t>
      </w:r>
      <w:r>
        <w:t>Medikamentenadhärenz (MMAS-8): Intervention 7,40 vs. Kontrolle 6,22 (adjusted MD 1,18, 95% CI 0,96–1,40; p&lt;0,001). Sekundäre Outcomes: BMQ-Notwendigkeit (MD 1,62), BMQ-Sorgen (MD -3,25), Selbstwirksamkeit (MD 4,04), SAQ-Gesamtscore (MD 6,13; alle p&lt;0,001). Treatmentsatisfaction: kein signifikanter Unterschied. Per-Protocol und Differenzen-in-Differenzen-Analysen bestätigen Robustheit.</w:t>
      </w:r>
    </w:p>
    <w:p>
      <w:r>
        <w:rPr>
          <w:b/>
          <w:sz w:val="19"/>
        </w:rPr>
        <w:t xml:space="preserve">Übertragbarkeit: </w:t>
      </w:r>
      <w:r>
        <w:rPr>
          <w:sz w:val="19"/>
        </w:rPr>
        <w:t>China, digital fortgeschrittenes Setting; Botschaftsrahmen und Behavior-Change-Ansatz sind auf Deutschland übertragbar.</w:t>
      </w:r>
    </w:p>
    <w:p>
      <w:r>
        <w:rPr>
          <w:color w:val="5A7D3A"/>
          <w:sz w:val="18"/>
        </w:rPr>
        <w:t>https://pubmed.ncbi.nlm.nih.gov/42842839/</w:t>
      </w:r>
    </w:p>
    <w:p>
      <w:pPr>
        <w:pStyle w:val="Heading2"/>
      </w:pPr>
      <w:r>
        <w:t>Digitale Gesundheitsinterventionen in der Onkologie: RE-AIM-Analyse der externen Validität</w:t>
      </w:r>
    </w:p>
    <w:p>
      <w:r>
        <w:rPr>
          <w:i/>
          <w:color w:val="666666"/>
          <w:sz w:val="18"/>
        </w:rPr>
        <w:t>Heifez M et al.  ·  Appl Psychol Health Well Being  ·  Okt. 2026  ·  PMID 42841441</w:t>
      </w:r>
    </w:p>
    <w:p>
      <w:r>
        <w:t>Systematische Übersicht über 191 RCTs und nicht-randomisierte Studien mit 29.907 Patienten und Betreuungspersonen zu digitalen Interventionen für psychologische und kognitive Aspekte bei Krebs; Bewertung mit RE-AIM-Framework zur Reichweite, Adoption und Verankerung im Alltag.</w:t>
      </w:r>
    </w:p>
    <w:p>
      <w:r>
        <w:rPr>
          <w:b/>
        </w:rPr>
        <w:t xml:space="preserve">Ergebnis: </w:t>
      </w:r>
      <w:r>
        <w:t>Reach, Effectiveness und Implementation wurden häufig berichtet, Adoption und Maintenance unterrepräsentiert. Trotz Berichte zu Effectiveness und Reach: begrenzte Evidenz zur externen Validität schränkt Skalierbarkeit ein. Schlüsselbefund: Fehlende Daten zu realer Übertragbarkeit und Nachhaltigkeit in Routineversorging.</w:t>
      </w:r>
    </w:p>
    <w:p>
      <w:r>
        <w:rPr>
          <w:b/>
          <w:sz w:val="19"/>
        </w:rPr>
        <w:t xml:space="preserve">Übertragbarkeit: </w:t>
      </w:r>
      <w:r>
        <w:rPr>
          <w:sz w:val="19"/>
        </w:rPr>
        <w:t>Internationale Evidenz mit EU-Perspektive; Transfer auf Deutschland erfordert Stärkung der Implementierungsforschung.</w:t>
      </w:r>
    </w:p>
    <w:p>
      <w:r>
        <w:rPr>
          <w:color w:val="5A7D3A"/>
          <w:sz w:val="18"/>
        </w:rPr>
        <w:t>https://pubmed.ncbi.nlm.nih.gov/42841441/</w:t>
      </w:r>
    </w:p>
    <w:p>
      <w:pPr>
        <w:pStyle w:val="Heading1"/>
      </w:pPr>
      <w:r>
        <w:t>Aufgenommen am 07.10.2026</w:t>
      </w:r>
    </w:p>
    <w:p>
      <w:pPr>
        <w:pStyle w:val="Heading2"/>
      </w:pPr>
      <w:r>
        <w:t>Digitale Fragmentierung in NHS: Folgen für Antimikrobien-Stewardship</w:t>
      </w:r>
    </w:p>
    <w:p>
      <w:r>
        <w:rPr>
          <w:i/>
          <w:color w:val="666666"/>
          <w:sz w:val="18"/>
        </w:rPr>
        <w:t>Schneider V et al.  ·  J Med Internet Res  ·  06.10.2026  ·  PMID 42837652</w:t>
      </w:r>
    </w:p>
    <w:p>
      <w:r>
        <w:t>Rapid Review untersuchte, wie die Zersplitterung von Patientendaten über multiple elektronische Systeme im britischen NHS die Antiinfektiva-Verschreibung und das Stewardship beeinträchtigt.</w:t>
      </w:r>
    </w:p>
    <w:p>
      <w:r>
        <w:rPr>
          <w:b/>
        </w:rPr>
        <w:t xml:space="preserve">Ergebnis: </w:t>
      </w:r>
      <w:r>
        <w:t>14 Studien eingeschlossen. 10 Studien dokumentierten Fragmentierung in UK; sie behindert Workflow, Entscheidungsfindung und führt zu doppelten Untersuchungen. Spezifische Evidenz für Antimikrobien-Stewardship war knapp (4 Studien): Schlechte Interoperabilität untergräbt Stewardship-Aktivitäten. Nur 1 Studie berichtete digitales Tool zur Behebung der Fragmentierung.</w:t>
      </w:r>
    </w:p>
    <w:p>
      <w:r>
        <w:rPr>
          <w:b/>
          <w:sz w:val="19"/>
        </w:rPr>
        <w:t xml:space="preserve">Übertragbarkeit: </w:t>
      </w:r>
      <w:r>
        <w:rPr>
          <w:sz w:val="19"/>
        </w:rPr>
        <w:t>Großbritannien, NHS-Daten; strukturelle Befunde zur Interoperabilität auf deutsches Klinikumfeld übertragbar.</w:t>
      </w:r>
    </w:p>
    <w:p>
      <w:r>
        <w:rPr>
          <w:color w:val="5A7D3A"/>
          <w:sz w:val="18"/>
        </w:rPr>
        <w:t>https://pubmed.ncbi.nlm.nih.gov/42837652/</w:t>
      </w:r>
    </w:p>
    <w:p>
      <w:pPr>
        <w:pStyle w:val="Heading2"/>
      </w:pPr>
      <w:r>
        <w:t>Chatbots für psychische Gesundheit: Screening und Erfassung – systematische Übersicht</w:t>
      </w:r>
    </w:p>
    <w:p>
      <w:r>
        <w:rPr>
          <w:i/>
          <w:color w:val="666666"/>
          <w:sz w:val="18"/>
        </w:rPr>
        <w:t>Morales Gil I et al.  ·  JMIR Ment Health  ·  06.10.2026  ·  PMID 42837528</w:t>
      </w:r>
    </w:p>
    <w:p>
      <w:r>
        <w:t>Systematische Übersicht (18 Studien 2021–2025, n=20–3.902) zur Wirksamkeit, Genauigkeit und Akzeptabilität von Chatbots und KI-Agenten in der psychischen Gesundheit.</w:t>
      </w:r>
    </w:p>
    <w:p>
      <w:r>
        <w:rPr>
          <w:b/>
        </w:rPr>
        <w:t xml:space="preserve">Ergebnis: </w:t>
      </w:r>
      <w:r>
        <w:t>Regelbasierte Chatbots: Zuverlässigkeit (Cronbach α &gt;0,85), gute Akzeptabilität (AIM &gt;19/25). Generative Modelle (LLM): Sensitivität 0,84–0,93, Spezifität 0,80–0,96 für Depression/Angststörung; Korrelation bis r=0,96 mit Fachleuten bei Suizidrisiko. Hybrid-Ansätze: F1-Score 92,1%, Spezifität 99,6% für kognitive Beeinträchtigung. Nutzer-Zufriedenheit ≥70%, Barrieren in älteren Populationen. Mittleres Bias-Risiko in Methodologie.</w:t>
      </w:r>
    </w:p>
    <w:p>
      <w:r>
        <w:rPr>
          <w:b/>
          <w:sz w:val="19"/>
        </w:rPr>
        <w:t xml:space="preserve">Übertragbarkeit: </w:t>
      </w:r>
      <w:r>
        <w:rPr>
          <w:sz w:val="19"/>
        </w:rPr>
        <w:t>Internationale Studien, methodisch auf deutsches Gesundheitswesen übertragbar; sichere Implementierung erfordert klinische Protokolle, ärztliche Supervision und Bias-Mitigation.</w:t>
      </w:r>
    </w:p>
    <w:p>
      <w:r>
        <w:rPr>
          <w:color w:val="5A7D3A"/>
          <w:sz w:val="18"/>
        </w:rPr>
        <w:t>https://pubmed.ncbi.nlm.nih.gov/42837528/</w:t>
      </w:r>
    </w:p>
    <w:p>
      <w:pPr>
        <w:pStyle w:val="Heading2"/>
      </w:pPr>
      <w:r>
        <w:t>Sozialroboter zur Risikoerfassung bei Kardiometabolischen Erkrankungen: Nutzererfahrung</w:t>
      </w:r>
    </w:p>
    <w:p>
      <w:r>
        <w:rPr>
          <w:i/>
          <w:color w:val="666666"/>
          <w:sz w:val="18"/>
        </w:rPr>
        <w:t>Bruchhof SD et al.  ·  J Med Internet Res  ·  06.10.2026  ·  PMID 42837519</w:t>
      </w:r>
    </w:p>
    <w:p>
      <w:r>
        <w:t>Qualitative Studie: 13 semistrukturierte Interviews mit Nutzern eines Screening-Roboters (Furhat) in sozial benachteiligten Gemeinden in Uppsala.</w:t>
      </w:r>
    </w:p>
    <w:p>
      <w:r>
        <w:rPr>
          <w:b/>
        </w:rPr>
        <w:t xml:space="preserve">Ergebnis: </w:t>
      </w:r>
      <w:r>
        <w:t>Kernthemen: (1) Nutzer nehmen an, ältere Menschen, Migranten und Frauen seien weniger interessiert am Roboter-Screening; (2) obwohl Nutzer die Interaktion nichtbewertend fanden und sie anderen empfehlen würden, zogen die meisten ein Screening mit Mensch vor. Hauptgründe: Sprachbarrieren und Wunsch nach mehr emotionaler Responsivität des Roboters.</w:t>
      </w:r>
    </w:p>
    <w:p>
      <w:r>
        <w:rPr>
          <w:b/>
          <w:sz w:val="19"/>
        </w:rPr>
        <w:t xml:space="preserve">Übertragbarkeit: </w:t>
      </w:r>
      <w:r>
        <w:rPr>
          <w:sz w:val="19"/>
        </w:rPr>
        <w:t>Schweden, Digitalisierungsstand höher als Deutschland; Usability-Befunde zum Human-AI-Interaction auf deutsche Kontexte übertragbar.</w:t>
      </w:r>
    </w:p>
    <w:p>
      <w:r>
        <w:rPr>
          <w:color w:val="5A7D3A"/>
          <w:sz w:val="18"/>
        </w:rPr>
        <w:t>https://pubmed.ncbi.nlm.nih.gov/42837519/</w:t>
      </w:r>
    </w:p>
    <w:p>
      <w:pPr>
        <w:pStyle w:val="Heading2"/>
      </w:pPr>
      <w:r>
        <w:t>Ambient Voice Technology in NHS: Phase-2-Evaluationsprotokoll</w:t>
      </w:r>
    </w:p>
    <w:p>
      <w:r>
        <w:rPr>
          <w:i/>
          <w:color w:val="666666"/>
          <w:sz w:val="18"/>
        </w:rPr>
        <w:t>Morris S et al.  ·  JMIR Res Protoc  ·  05.10.2026  ·  PMID 42832701</w:t>
      </w:r>
    </w:p>
    <w:p>
      <w:r>
        <w:t>Protokoll für multisite mixed-methods Evaluation von KI-gestützter Sprachumwandlung klinischer Konsultationen in 4 NHS-Trusts (Psychiatrie, akute Ambulanzen, Notfall).</w:t>
      </w:r>
    </w:p>
    <w:p>
      <w:r>
        <w:rPr>
          <w:b/>
        </w:rPr>
        <w:t xml:space="preserve">Ergebnis: </w:t>
      </w:r>
      <w:r>
        <w:t>Studiendesign: (1) quasiexperimentelle Analyse von Routine-NHS-Daten zu Dokumentationszeit, klinischer Aktivität und Service-Outcomes; (2) Kosten-Konsequenz- und Kostennutzen-Analyse; (3) bis zu 36 Interviews mit Personal. Datenerhebung August 2026 bis Januar 2027; Publikation Februar 2027 geplant.</w:t>
      </w:r>
    </w:p>
    <w:p>
      <w:r>
        <w:rPr>
          <w:b/>
          <w:sz w:val="19"/>
        </w:rPr>
        <w:t xml:space="preserve">Übertragbarkeit: </w:t>
      </w:r>
      <w:r>
        <w:rPr>
          <w:sz w:val="19"/>
        </w:rPr>
        <w:t>Großbritannien, NHS-Struktur; Evaluationsmethodik und Outcomes (Dokumentationszeit, Kostenfolgen) auf deutsche Kliniken übertragbar.</w:t>
      </w:r>
    </w:p>
    <w:p>
      <w:r>
        <w:rPr>
          <w:color w:val="5A7D3A"/>
          <w:sz w:val="18"/>
        </w:rPr>
        <w:t>https://pubmed.ncbi.nlm.nih.gov/42832701/</w:t>
      </w:r>
    </w:p>
    <w:p>
      <w:pPr>
        <w:pStyle w:val="Heading2"/>
      </w:pPr>
      <w:r>
        <w:t>KI-Haftung und Behandlungsstandard in psychiatrischer Praxis: europäischer Überblick</w:t>
      </w:r>
    </w:p>
    <w:p>
      <w:r>
        <w:rPr>
          <w:i/>
          <w:color w:val="666666"/>
          <w:sz w:val="18"/>
        </w:rPr>
        <w:t>Madeira L et al.  ·  J Med Internet Res  ·  05.10.2026  ·  PMID 42832687</w:t>
      </w:r>
    </w:p>
    <w:p>
      <w:r>
        <w:t>Rechts- und bioethische Analyse zur Verteilung von Verantwortung und Haftung, wenn KI in psychiatrische Diagnostik, Risikoprognose und Dokumentation eingebunden ist.</w:t>
      </w:r>
    </w:p>
    <w:p>
      <w:r>
        <w:rPr>
          <w:b/>
        </w:rPr>
        <w:t xml:space="preserve">Ergebnis: </w:t>
      </w:r>
      <w:r>
        <w:t>Kernthese: Psychiatrische KI erfordert 'justified integration' mit gestaffelter Verantwortung: Kliniker für kontextuelle, patientenzentrierte Urteile; Entwickler für Design und Validierung; Organisationen für Beschaffung und lokale Integration. Vier Falldomänen analysiert (Chatbots, Suizidprognose, Passive Monitoring, LLM-Dokumentation). Bestehende EU-Instrumente (AI Act, MDR, GDPR) setzen Governance-Pflichten, definieren aber kein harmonisiertes Haftungsregime.</w:t>
      </w:r>
    </w:p>
    <w:p>
      <w:r>
        <w:rPr>
          <w:b/>
          <w:sz w:val="19"/>
        </w:rPr>
        <w:t xml:space="preserve">Übertragbarkeit: </w:t>
      </w:r>
      <w:r>
        <w:rPr>
          <w:sz w:val="19"/>
        </w:rPr>
        <w:t>Europäische Perspektive (Portugal, Deutschland, Polen, Italien); direkt auf deutsches Recht und Psychiatrie anwendbar.</w:t>
      </w:r>
    </w:p>
    <w:p>
      <w:r>
        <w:rPr>
          <w:color w:val="5A7D3A"/>
          <w:sz w:val="18"/>
        </w:rPr>
        <w:t>https://pubmed.ncbi.nlm.nih.gov/42832687/</w:t>
      </w:r>
    </w:p>
    <w:p>
      <w:pPr>
        <w:pStyle w:val="Heading2"/>
      </w:pPr>
      <w:r>
        <w:t>KI-Funktionen in EUDAMED: Mangelnde öffentliche Nachverfolgbarkeit</w:t>
      </w:r>
    </w:p>
    <w:p>
      <w:r>
        <w:rPr>
          <w:i/>
          <w:color w:val="666666"/>
          <w:sz w:val="18"/>
        </w:rPr>
        <w:t>Marconi L et al.  ·  Int J Med Inform  ·  26.09.2026  ·  PMID 42800404</w:t>
      </w:r>
    </w:p>
    <w:p>
      <w:r>
        <w:t>Cross-sectional Studie zur Prüfung, wie vollständig und transparent KI-gestützte Medizinprodukte in der europäischen Datenbank EUDAMED dokumentiert sind.</w:t>
      </w:r>
    </w:p>
    <w:p>
      <w:r>
        <w:rPr>
          <w:b/>
        </w:rPr>
        <w:t xml:space="preserve">Ergebnis: </w:t>
      </w:r>
      <w:r>
        <w:t>Von 1.546 Geräte-Datensätzen erfüllten 386 (25,0%) das Kriterium 'KI-gestützt'. Nur 28 (1,81% aller Geräte; 7,3% der KI-Geräte) enthielten KI-Evidenz direkt in EUDAMED; 358 (92,7%) erforderten externe Quellen. Kodierer-Übereinstimmung: 98,12% (Cohen κ=0,318). Class IIa dominant (65,8%), Diagnose/Dateninterpretation 60,6%.</w:t>
      </w:r>
    </w:p>
    <w:p>
      <w:r>
        <w:rPr>
          <w:b/>
          <w:sz w:val="19"/>
        </w:rPr>
        <w:t xml:space="preserve">Übertragbarkeit: </w:t>
      </w:r>
      <w:r>
        <w:rPr>
          <w:sz w:val="19"/>
        </w:rPr>
        <w:t>EU-Regulierung, direkt auf deutsches Zulassungssystem (MDR, DiGAV) anwendbar.</w:t>
      </w:r>
    </w:p>
    <w:p>
      <w:r>
        <w:rPr>
          <w:color w:val="5A7D3A"/>
          <w:sz w:val="18"/>
        </w:rPr>
        <w:t>https://pubmed.ncbi.nlm.nih.gov/42800404/</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Digitale Gesundheitsanwendungen in Schwangerenbetreuung: KI-gestützte Gestationsalter-Schätzung in Afrika</w:t>
      </w:r>
    </w:p>
    <w:p>
      <w:r>
        <w:rPr>
          <w:i/>
          <w:color w:val="666666"/>
          <w:sz w:val="18"/>
        </w:rPr>
        <w:t>Swarray Deen A et al.  ·  BMJ Open  ·  11.09.2026  ·  PMID 42731844</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https://pubmed.ncbi.nlm.nih.gov/42731844/</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Schweden,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