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13.10.2026  |  7 Studien  |  ki.m-vf.de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Clinical Decision Support für enterale Ernährung: Zeitersparnis und Fehlerreduktion in der Praxis</w:t>
      </w:r>
    </w:p>
    <w:p>
      <w:r>
        <w:rPr>
          <w:i/>
          <w:color w:val="666666"/>
          <w:sz w:val="18"/>
        </w:rPr>
        <w:t>Papandreou P et al.  ·  J Eval Clin Pract  ·  Okt. 2026  ·  PMID 42862919</w:t>
      </w:r>
    </w:p>
    <w:p>
      <w:r>
        <w:t>Pilottest eines internen CDSS zur Berechnung von Ernährungsanforderungen und Auswahl enteraler Ernährung in 27 hospitalisierten Patienten einer griechischen Privatklinik.</w:t>
      </w:r>
    </w:p>
    <w:p>
      <w:r>
        <w:rPr>
          <w:b/>
        </w:rPr>
        <w:t xml:space="preserve">Ergebnis: </w:t>
      </w:r>
      <w:r>
        <w:t>Die Planungszeit pro Patient sank von 9,01 ± 0,21 auf 4,01 ± 0,35 Minuten (55 % Reduktion); CDSS und manuelle Methode stimmten in 66,7 % der Fälle überein. Die Literaturübersicht zeigte, dass CDSS-Anwendung die Berechnungszeit reduziert, Dietitian-Überweisungen erhöht, schnellere Ernährungsinitiierung ermöglicht und medizinische Fehler senkt.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Griechisches Privathospital – Übertragbarkeit auf deutsche Kliniken mit ähnlichen Dokumentationspflichten erforderlich</w:t>
      </w:r>
    </w:p>
    <w:p>
      <w:r>
        <w:rPr>
          <w:color w:val="5A7D3A"/>
          <w:sz w:val="18"/>
        </w:rPr>
        <w:t>https://pubmed.ncbi.nlm.nih.gov/42862919/</w:t>
      </w:r>
    </w:p>
    <w:p>
      <w:pPr>
        <w:pStyle w:val="Heading2"/>
      </w:pPr>
      <w:r>
        <w:t>Künstliche Intelligenz in der Suizidprävention: Klinische Chancen und Risiken</w:t>
      </w:r>
    </w:p>
    <w:p>
      <w:r>
        <w:rPr>
          <w:i/>
          <w:color w:val="666666"/>
          <w:sz w:val="18"/>
        </w:rPr>
        <w:t>Nobile B et al.  ·  Dialogues Clin Neurosci  ·  12.10.2026  ·  PMID 42862709</w:t>
      </w:r>
    </w:p>
    <w:p>
      <w:r>
        <w:t>Narrative Übersicht zu AI-Anwendungen in der Suizidprävention: Früherkennung von Suizidgedanken durch NLP, virtuelle Patienten für Kliniker-Training und ChatBot-basierte Therapie.</w:t>
      </w:r>
    </w:p>
    <w:p>
      <w:r>
        <w:rPr>
          <w:b/>
        </w:rPr>
        <w:t xml:space="preserve">Ergebnis: </w:t>
      </w:r>
      <w:r>
        <w:t>AI-Modelle können Suizidgedanken sensitiver als Kliniker durch linguistische Muster erkennen; virtuelle Patienten verbessern Kliniker-Sicherheit bei Risikoeinschätzung. Allerdings: CBT-inspirierte AI-Tools bleiben unkontrolliert und oft klinisch unvalidiert; viele Patienten nutzen sie ohne Fachleitung. Automation Bias und Überakzeptanz algorithmischer Empfehlungen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– ethische und klinische Risiken sind länderunabhängig, Regulierungslücke überall</w:t>
      </w:r>
    </w:p>
    <w:p>
      <w:r>
        <w:rPr>
          <w:color w:val="5A7D3A"/>
          <w:sz w:val="18"/>
        </w:rPr>
        <w:t>https://pubmed.ncbi.nlm.nih.gov/42862709/</w:t>
      </w:r>
    </w:p>
    <w:p>
      <w:pPr>
        <w:pStyle w:val="Heading2"/>
      </w:pPr>
      <w:r>
        <w:t>KI-gestützte Echokardiographie-Bildklassifikation: Kliniker-geführte Implementierung ohne Spezial-Hardware</w:t>
      </w:r>
    </w:p>
    <w:p>
      <w:r>
        <w:rPr>
          <w:i/>
          <w:color w:val="666666"/>
          <w:sz w:val="18"/>
        </w:rPr>
        <w:t>Xie J et al.  ·  Echocardiography  ·  Okt. 2026  ·  PMID 42860807</w:t>
      </w:r>
    </w:p>
    <w:p>
      <w:r>
        <w:t>Machbarkeitsstudie eines praktizierten Echokardiographen, der mit AI-gestütztem Coding (KI 2.6) auf Standard-Workstation einen Five-Class-ResNet-18-Bildklassifizierer aus 1.387 Routineuntersuchungen entwickelte (9.796 Frames).</w:t>
      </w:r>
    </w:p>
    <w:p>
      <w:r>
        <w:rPr>
          <w:b/>
        </w:rPr>
        <w:t xml:space="preserve">Ergebnis: </w:t>
      </w:r>
      <w:r>
        <w:t>Gesamter Annotationsaufwand 32 Minuten. Interne Test-Genauigkeit 98,27 % (95 % CI 97,06–99,08 %), Makro-F1 0,9784. Externe Validierung (74 Patienten, 263 Frames) 71,48 % Genauigkeit; parasternale Kurz- und apikale Zwei-Kammer-View zeigten robuste Generalisierung (100 % und 94,23 %), andere Views geräteabhängiger.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Machbarkeitsnachweis mit klinischem Workflow, aber technische Umsetzung geräte- und lokationsabhängig</w:t>
      </w:r>
    </w:p>
    <w:p>
      <w:r>
        <w:rPr>
          <w:color w:val="5A7D3A"/>
          <w:sz w:val="18"/>
        </w:rPr>
        <w:t>https://pubmed.ncbi.nlm.nih.gov/42860807/</w:t>
      </w:r>
    </w:p>
    <w:p>
      <w:pPr>
        <w:pStyle w:val="Heading2"/>
      </w:pPr>
      <w:r>
        <w:t>Machine-Learning-Modell zur Früherkennung von Gebrechlichkeit bei Dialysepatienten</w:t>
      </w:r>
    </w:p>
    <w:p>
      <w:r>
        <w:rPr>
          <w:i/>
          <w:color w:val="666666"/>
          <w:sz w:val="18"/>
        </w:rPr>
        <w:t>Wang J et al.  ·  Ann Med  ·  11.10.2026  ·  PMID 42860582</w:t>
      </w:r>
    </w:p>
    <w:p>
      <w:r>
        <w:t>Entwicklung und externe Validierung eines XGBoost-Modells zur Identifikation von Gebrechlichkeit (FRAIL-Skala) bei 626 Hämodialysepatienten aus vier chinesischen Krankenhäusern mittels klinischer und Laborvariablen.</w:t>
      </w:r>
    </w:p>
    <w:p>
      <w:r>
        <w:rPr>
          <w:b/>
        </w:rPr>
        <w:t xml:space="preserve">Ergebnis: </w:t>
      </w:r>
      <w:r>
        <w:t>XGBoost zeigte beste externe Validierungsperformance (AUC 0,917, 95 % CI 0,867–0,967; Genauigkeit 0,847; Sensitivität 0,850; Spezifität 0,844). Sechs Prädiktoren: Alter, Griffstärke, Komorbiditäten, CCI, Albumin, Pro-BNP. SHAP-Analyse identifizierte Pro-BNP als einflussreichster Prädiktor mit klinisch relevanten Schwellwerten.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vergleichbare Dialysestrukturen, aber externe Validierung an chinesischen Patientendaten erforderlich</w:t>
      </w:r>
    </w:p>
    <w:p>
      <w:r>
        <w:rPr>
          <w:color w:val="5A7D3A"/>
          <w:sz w:val="18"/>
        </w:rPr>
        <w:t>https://pubmed.ncbi.nlm.nih.gov/42860582/</w:t>
      </w:r>
    </w:p>
    <w:p>
      <w:pPr>
        <w:pStyle w:val="Heading2"/>
      </w:pPr>
      <w:r>
        <w:t>Telemedizin in Polen: Zeitersparnis und Nutzung von Telefonkonsultationen in der Primärversorgung</w:t>
      </w:r>
    </w:p>
    <w:p>
      <w:r>
        <w:rPr>
          <w:i/>
          <w:color w:val="666666"/>
          <w:sz w:val="18"/>
        </w:rPr>
        <w:t>Olearczyk A et al.  ·  Front Public Health  ·  25.09.2026  ·  PMID 42857009</w:t>
      </w:r>
    </w:p>
    <w:p>
      <w:r>
        <w:t>Landesweite Befragung von 798 Erwachsenen in Polen (Nov. 2025–Jan. 2026) zur Assoziation zwischen wahrgenommener Zeiteinsparung und Nutzung von Telefonkonsultationen in der Hausarztpraxis.</w:t>
      </w:r>
    </w:p>
    <w:p>
      <w:r>
        <w:rPr>
          <w:b/>
        </w:rPr>
        <w:t xml:space="preserve">Ergebnis: </w:t>
      </w:r>
      <w:r>
        <w:t>In vollständig adjustierten Modellen waren wahrgenommene Zeiteinsparungen mit höheren Odds für Telefonkonsultation assoziiert: &lt; 1 h OR 3,03, 1–2 h OR 3,91, ≥ 3 h OR 4,41 (alle p &lt; 0,01). Vorhersagewahrscheinlichkeit 26,3 % (keine Einsparung) bis 53,6 % (≥ 3 h). Finanzielle Belastung war mit niedrigerer Nutzung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Zentraleuropa-Strukturen – zeigt regionale Unterschiede in digitalen Barrieren</w:t>
      </w:r>
    </w:p>
    <w:p>
      <w:r>
        <w:rPr>
          <w:color w:val="5A7D3A"/>
          <w:sz w:val="18"/>
        </w:rPr>
        <w:t>https://pubmed.ncbi.nlm.nih.gov/42857009/</w:t>
      </w:r>
    </w:p>
    <w:p>
      <w:pPr>
        <w:pStyle w:val="Heading2"/>
      </w:pPr>
      <w:r>
        <w:t>Mobile Apps für Kinder von Eltern mit psychischer Erkrankung: Qualitätsbewertung durch Experten</w:t>
      </w:r>
    </w:p>
    <w:p>
      <w:r>
        <w:rPr>
          <w:i/>
          <w:color w:val="666666"/>
          <w:sz w:val="18"/>
        </w:rPr>
        <w:t>Lönnfjord V et al.  ·  JMIR Form Res  ·  09.10.2026  ·  PMID 42855154</w:t>
      </w:r>
    </w:p>
    <w:p>
      <w:r>
        <w:t>Experten (Forscher, Kinderrechtsorganisationen, IT-Profis) beurteilten neun kostenlose Apps für Kinder von Eltern mit psychischer Erkrankung (COPMI) anhand der Mobile App Rating Scale (MARS) und Fokusgruppen-Diskussionen.</w:t>
      </w:r>
    </w:p>
    <w:p>
      <w:r>
        <w:rPr>
          <w:b/>
        </w:rPr>
        <w:t xml:space="preserve">Ergebnis: </w:t>
      </w:r>
      <w:r>
        <w:t>Nur 3 von 9 Apps erreichten hohe MARS-Scores über alle Dimensionen (Ästhetik, Funktionalität, Information, Engagement). Experten präferierten allgemeine Apps ohne COPMI-Spezifik (zur Stigmareduktion) und forderten Anonymitätsschutz, Web-Alternativen zu Apps und langfristige Finanzierungsmodelle durch etablierte Organisationen.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– Implementierungsbarrieren gelten über Länder hinweg, setzt aber auf Partnerschaft mit etablierten Organisationen</w:t>
      </w:r>
    </w:p>
    <w:p>
      <w:r>
        <w:rPr>
          <w:color w:val="5A7D3A"/>
          <w:sz w:val="18"/>
        </w:rPr>
        <w:t>https://pubmed.ncbi.nlm.nih.gov/42855154/</w:t>
      </w:r>
    </w:p>
    <w:p>
      <w:pPr>
        <w:pStyle w:val="Heading2"/>
      </w:pPr>
      <w:r>
        <w:t>Virtuelle versus echte Nativbilder in der Photonen-Zähl-CT: Vereinbarung bei Lungendensitometrie</w:t>
      </w:r>
    </w:p>
    <w:p>
      <w:r>
        <w:rPr>
          <w:i/>
          <w:color w:val="666666"/>
          <w:sz w:val="18"/>
        </w:rPr>
        <w:t>Bodlien ML et al.  ·  Radiology  ·  Sept. 2026  ·  PMID 42808896</w:t>
      </w:r>
    </w:p>
    <w:p>
      <w:r>
        <w:t>Retrospektive Studie an 83 Patienten (Hannover Medical School und niederländische Zentren) zum Vergleich virtueller und echter Nativ-CT-Bilder für Lungendichte-Messungen mittels bildgebendem Machine Learning.</w:t>
      </w:r>
    </w:p>
    <w:p>
      <w:r>
        <w:rPr>
          <w:b/>
        </w:rPr>
        <w:t xml:space="preserve">Ergebnis: </w:t>
      </w:r>
      <w:r>
        <w:t>Mittleres Lungenvolumen ähnlich (4.143 vs. 4.111 mL, p = 0,41), mittlere Schwächung −799 vs. −798 HU (p = 0,91). Nach Adjustierung für Atemtiefe: keine systematische Verzerrung, Attenuationsdifferenzen ±12,6 bis 10,5 HU (95 % LoA). Emphysematöse Areale leicht unterschätzt (−0,4 %, p &lt; 0,001), Normalbereiche überestimiert (+0,8 %,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Niederlande – vergleichbare Versorgungsstrukturen, bildgebender Befund ist strukturunabhängig</w:t>
      </w:r>
    </w:p>
    <w:p>
      <w:r>
        <w:rPr>
          <w:color w:val="5A7D3A"/>
          <w:sz w:val="18"/>
        </w:rPr>
        <w:t>https://pubmed.ncbi.nlm.nih.gov/42808896/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